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299DE">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Times New Roman" w:hAnsi="Times New Roman" w:eastAsia="仿宋_GB2312" w:cs="Times New Roman"/>
          <w:color w:val="auto"/>
          <w:spacing w:val="-4"/>
          <w:sz w:val="32"/>
          <w:szCs w:val="32"/>
          <w:u w:val="none"/>
          <w:lang w:val="en-US" w:eastAsia="zh-CN"/>
        </w:rPr>
        <w:t xml:space="preserve">各位代表： </w:t>
      </w:r>
    </w:p>
    <w:p w14:paraId="3EFD1E73">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Times New Roman" w:hAnsi="Times New Roman" w:eastAsia="仿宋_GB2312" w:cs="Times New Roman"/>
          <w:color w:val="auto"/>
          <w:spacing w:val="-4"/>
          <w:sz w:val="32"/>
          <w:szCs w:val="32"/>
          <w:u w:val="none"/>
          <w:lang w:val="en-US" w:eastAsia="zh-CN"/>
        </w:rPr>
        <w:t>现在，我代表振兴区人民检察院向大会报告工作，请予审议。</w:t>
      </w:r>
    </w:p>
    <w:p w14:paraId="3CD981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spacing w:val="-4"/>
          <w:sz w:val="32"/>
          <w:szCs w:val="32"/>
          <w:u w:val="none"/>
          <w:lang w:val="en-US" w:eastAsia="zh-CN"/>
        </w:rPr>
      </w:pPr>
      <w:r>
        <w:rPr>
          <w:rFonts w:hint="default" w:ascii="Times New Roman" w:hAnsi="Times New Roman" w:eastAsia="黑体" w:cs="Times New Roman"/>
          <w:color w:val="auto"/>
          <w:spacing w:val="-4"/>
          <w:sz w:val="32"/>
          <w:szCs w:val="32"/>
          <w:u w:val="none"/>
          <w:lang w:val="en-US" w:eastAsia="zh-CN"/>
        </w:rPr>
        <w:t>2025</w:t>
      </w:r>
      <w:r>
        <w:rPr>
          <w:rFonts w:hint="eastAsia" w:ascii="黑体" w:hAnsi="黑体" w:eastAsia="黑体" w:cs="黑体"/>
          <w:color w:val="auto"/>
          <w:spacing w:val="-4"/>
          <w:sz w:val="32"/>
          <w:szCs w:val="32"/>
          <w:u w:val="none"/>
          <w:lang w:val="en-US" w:eastAsia="zh-CN"/>
        </w:rPr>
        <w:t>年工作回顾</w:t>
      </w:r>
    </w:p>
    <w:p w14:paraId="7C918EB7">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pacing w:val="-4"/>
          <w:sz w:val="32"/>
          <w:szCs w:val="32"/>
          <w:u w:val="none"/>
        </w:rPr>
      </w:pPr>
      <w:r>
        <w:rPr>
          <w:rFonts w:hint="default" w:ascii="Times New Roman" w:hAnsi="Times New Roman" w:eastAsia="仿宋_GB2312" w:cs="Times New Roman"/>
          <w:color w:val="auto"/>
          <w:spacing w:val="-4"/>
          <w:sz w:val="32"/>
          <w:szCs w:val="32"/>
          <w:u w:val="none"/>
          <w:lang w:val="en-US" w:eastAsia="zh-CN"/>
        </w:rPr>
        <w:t>2025</w:t>
      </w:r>
      <w:r>
        <w:rPr>
          <w:rFonts w:hint="eastAsia" w:ascii="Times New Roman" w:hAnsi="Times New Roman" w:eastAsia="仿宋_GB2312" w:cs="Times New Roman"/>
          <w:color w:val="auto"/>
          <w:spacing w:val="-4"/>
          <w:sz w:val="32"/>
          <w:szCs w:val="32"/>
          <w:u w:val="none"/>
          <w:lang w:val="en-US" w:eastAsia="zh-CN"/>
        </w:rPr>
        <w:t>年，</w:t>
      </w:r>
      <w:r>
        <w:rPr>
          <w:rFonts w:hint="eastAsia" w:ascii="仿宋_GB2312" w:hAnsi="仿宋_GB2312" w:eastAsia="仿宋_GB2312" w:cs="仿宋_GB2312"/>
          <w:color w:val="auto"/>
          <w:spacing w:val="-4"/>
          <w:sz w:val="32"/>
          <w:szCs w:val="32"/>
          <w:u w:val="none"/>
        </w:rPr>
        <w:t>区检察院在区委和市检察院的正确领导下，在区人大及其常委会的有力监督</w:t>
      </w:r>
      <w:r>
        <w:rPr>
          <w:rFonts w:hint="eastAsia" w:ascii="仿宋_GB2312" w:hAnsi="仿宋_GB2312" w:eastAsia="仿宋_GB2312" w:cs="仿宋_GB2312"/>
          <w:color w:val="auto"/>
          <w:spacing w:val="-4"/>
          <w:sz w:val="32"/>
          <w:szCs w:val="32"/>
          <w:u w:val="none"/>
          <w:lang w:eastAsia="zh-CN"/>
        </w:rPr>
        <w:t>、</w:t>
      </w:r>
      <w:r>
        <w:rPr>
          <w:rFonts w:hint="eastAsia" w:ascii="仿宋_GB2312" w:hAnsi="仿宋_GB2312" w:eastAsia="仿宋_GB2312" w:cs="仿宋_GB2312"/>
          <w:color w:val="auto"/>
          <w:spacing w:val="-4"/>
          <w:sz w:val="32"/>
          <w:szCs w:val="32"/>
          <w:u w:val="none"/>
        </w:rPr>
        <w:t>区政府大力支持和区政协民主监督下，</w:t>
      </w:r>
      <w:r>
        <w:rPr>
          <w:rFonts w:hint="eastAsia" w:ascii="仿宋_GB2312" w:hAnsi="仿宋_GB2312" w:eastAsia="仿宋_GB2312" w:cs="仿宋_GB2312"/>
          <w:color w:val="auto"/>
          <w:spacing w:val="-4"/>
          <w:sz w:val="32"/>
          <w:szCs w:val="32"/>
          <w:u w:val="none"/>
          <w:lang w:val="en-US" w:eastAsia="zh-CN"/>
        </w:rPr>
        <w:t>深入学习贯彻习近平法治思想，全面贯彻党的二十大和二十届历次全会精神，认真落实区</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届人</w:t>
      </w:r>
      <w:r>
        <w:rPr>
          <w:rFonts w:hint="default" w:ascii="仿宋_GB2312" w:hAnsi="仿宋_GB2312" w:eastAsia="仿宋_GB2312" w:cs="仿宋_GB2312"/>
          <w:color w:val="auto"/>
          <w:spacing w:val="-4"/>
          <w:sz w:val="32"/>
          <w:szCs w:val="32"/>
          <w:u w:val="none"/>
        </w:rPr>
        <w:t>民代表大会第</w:t>
      </w:r>
      <w:r>
        <w:rPr>
          <w:rFonts w:hint="eastAsia" w:ascii="仿宋_GB2312" w:hAnsi="仿宋_GB2312" w:eastAsia="仿宋_GB2312" w:cs="仿宋_GB2312"/>
          <w:color w:val="auto"/>
          <w:spacing w:val="-4"/>
          <w:sz w:val="32"/>
          <w:szCs w:val="32"/>
          <w:u w:val="none"/>
          <w:lang w:val="en-US" w:eastAsia="zh-CN"/>
        </w:rPr>
        <w:t>四</w:t>
      </w:r>
      <w:r>
        <w:rPr>
          <w:rFonts w:hint="default" w:ascii="仿宋_GB2312" w:hAnsi="仿宋_GB2312" w:eastAsia="仿宋_GB2312" w:cs="仿宋_GB2312"/>
          <w:color w:val="auto"/>
          <w:spacing w:val="-4"/>
          <w:sz w:val="32"/>
          <w:szCs w:val="32"/>
          <w:u w:val="none"/>
        </w:rPr>
        <w:t>次会议</w:t>
      </w:r>
      <w:r>
        <w:rPr>
          <w:rFonts w:hint="eastAsia" w:ascii="仿宋_GB2312" w:hAnsi="仿宋_GB2312" w:eastAsia="仿宋_GB2312" w:cs="仿宋_GB2312"/>
          <w:color w:val="auto"/>
          <w:spacing w:val="-4"/>
          <w:sz w:val="32"/>
          <w:szCs w:val="32"/>
          <w:u w:val="none"/>
          <w:lang w:val="en-US" w:eastAsia="zh-CN"/>
        </w:rPr>
        <w:t>决议，</w:t>
      </w:r>
      <w:r>
        <w:rPr>
          <w:rFonts w:hint="eastAsia" w:ascii="仿宋_GB2312" w:hAnsi="仿宋_GB2312" w:eastAsia="仿宋_GB2312" w:cs="仿宋_GB2312"/>
          <w:color w:val="auto"/>
          <w:spacing w:val="-4"/>
          <w:sz w:val="32"/>
          <w:szCs w:val="32"/>
          <w:u w:val="none"/>
        </w:rPr>
        <w:t>依法履行法律监督职责，</w:t>
      </w:r>
      <w:r>
        <w:rPr>
          <w:rFonts w:hint="eastAsia" w:ascii="仿宋_GB2312" w:hAnsi="仿宋_GB2312" w:eastAsia="仿宋_GB2312" w:cs="仿宋_GB2312"/>
          <w:color w:val="auto"/>
          <w:spacing w:val="-4"/>
          <w:sz w:val="32"/>
          <w:szCs w:val="32"/>
          <w:u w:val="none"/>
          <w:lang w:val="en-US" w:eastAsia="zh-CN"/>
        </w:rPr>
        <w:t>刑事、民事、行政、公益诉讼“四大检察”协同发力，</w:t>
      </w:r>
      <w:r>
        <w:rPr>
          <w:rFonts w:hint="eastAsia" w:ascii="仿宋_GB2312" w:hAnsi="仿宋_GB2312" w:eastAsia="仿宋_GB2312" w:cs="仿宋_GB2312"/>
          <w:color w:val="auto"/>
          <w:spacing w:val="-4"/>
          <w:sz w:val="32"/>
          <w:szCs w:val="32"/>
          <w:u w:val="none"/>
        </w:rPr>
        <w:t>各项检察工作取得新</w:t>
      </w:r>
      <w:r>
        <w:rPr>
          <w:rFonts w:hint="eastAsia" w:ascii="仿宋_GB2312" w:hAnsi="仿宋_GB2312" w:eastAsia="仿宋_GB2312" w:cs="仿宋_GB2312"/>
          <w:color w:val="auto"/>
          <w:spacing w:val="-4"/>
          <w:sz w:val="32"/>
          <w:szCs w:val="32"/>
          <w:u w:val="none"/>
          <w:lang w:val="en-US" w:eastAsia="zh-CN"/>
        </w:rPr>
        <w:t>成效</w:t>
      </w:r>
      <w:r>
        <w:rPr>
          <w:rFonts w:hint="eastAsia" w:ascii="仿宋_GB2312" w:hAnsi="仿宋_GB2312" w:eastAsia="仿宋_GB2312" w:cs="仿宋_GB2312"/>
          <w:color w:val="auto"/>
          <w:spacing w:val="-4"/>
          <w:sz w:val="32"/>
          <w:szCs w:val="32"/>
          <w:u w:val="none"/>
        </w:rPr>
        <w:t>。</w:t>
      </w:r>
    </w:p>
    <w:p w14:paraId="42800F04">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黑体" w:hAnsi="黑体" w:eastAsia="黑体" w:cs="黑体"/>
          <w:color w:val="auto"/>
          <w:spacing w:val="-4"/>
          <w:sz w:val="32"/>
          <w:szCs w:val="32"/>
          <w:u w:val="none"/>
          <w:lang w:val="en-US" w:eastAsia="zh-CN"/>
        </w:rPr>
      </w:pPr>
      <w:r>
        <w:rPr>
          <w:rFonts w:hint="eastAsia" w:ascii="黑体" w:hAnsi="黑体" w:eastAsia="黑体" w:cs="黑体"/>
          <w:color w:val="auto"/>
          <w:spacing w:val="-4"/>
          <w:sz w:val="32"/>
          <w:szCs w:val="32"/>
          <w:u w:val="none"/>
          <w:lang w:val="en-US" w:eastAsia="zh-CN"/>
        </w:rPr>
        <w:t>一、围绕中心工作抓实高质效履职</w:t>
      </w:r>
    </w:p>
    <w:p w14:paraId="0959EDA8">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坚决维护社会安全稳定。</w:t>
      </w:r>
      <w:r>
        <w:rPr>
          <w:rFonts w:hint="eastAsia" w:ascii="Times New Roman" w:hAnsi="Times New Roman" w:eastAsia="仿宋_GB2312" w:cs="Times New Roman"/>
          <w:color w:val="auto"/>
          <w:spacing w:val="-4"/>
          <w:sz w:val="32"/>
          <w:szCs w:val="32"/>
          <w:u w:val="none"/>
          <w:lang w:val="en-US" w:eastAsia="zh-CN"/>
        </w:rPr>
        <w:t>贯彻总体国家安全观，依法打击各类刑事犯罪，批准逮捕犯罪嫌疑人157人，同比上升31%，提起公诉257人，同比下降24%。常态化开展扫黑除恶斗争，依法严惩严重暴力犯罪和人民群众反映强烈的犯罪，起诉故意杀人、贩卖毒品等重大刑事犯罪23人，盗窃、诈骗等普通刑事犯罪186人，打击惩治电信网络诈骗及关联犯罪47人。</w:t>
      </w:r>
    </w:p>
    <w:p w14:paraId="7686D0DA">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聚焦法律监督主责主业。</w:t>
      </w:r>
      <w:r>
        <w:rPr>
          <w:rFonts w:hint="eastAsia" w:ascii="Times New Roman" w:hAnsi="Times New Roman" w:eastAsia="仿宋_GB2312" w:cs="Times New Roman"/>
          <w:color w:val="auto"/>
          <w:spacing w:val="-4"/>
          <w:sz w:val="32"/>
          <w:szCs w:val="32"/>
          <w:u w:val="none"/>
          <w:lang w:val="en-US" w:eastAsia="zh-CN"/>
        </w:rPr>
        <w:t>加强刑事立案、侦查和审判监督，立案监督14人，追捕追诉3人，发出《纠正违法通知书》《侦查活动监督通知书》22份，均被采纳。全面准确落实宽严相济刑事政策</w:t>
      </w:r>
      <w:r>
        <w:rPr>
          <w:rFonts w:hint="default" w:ascii="Times New Roman" w:hAnsi="Times New Roman" w:eastAsia="微软雅黑" w:cs="Times New Roman"/>
          <w:color w:val="auto"/>
          <w:spacing w:val="-4"/>
          <w:sz w:val="36"/>
          <w:szCs w:val="36"/>
          <w:u w:val="none"/>
          <w:vertAlign w:val="superscript"/>
          <w:lang w:val="en-US" w:eastAsia="zh-CN"/>
        </w:rPr>
        <w:t>①</w:t>
      </w:r>
      <w:r>
        <w:rPr>
          <w:rFonts w:hint="eastAsia" w:ascii="Times New Roman" w:hAnsi="Times New Roman" w:eastAsia="仿宋_GB2312" w:cs="Times New Roman"/>
          <w:color w:val="auto"/>
          <w:spacing w:val="-4"/>
          <w:sz w:val="32"/>
          <w:szCs w:val="32"/>
          <w:u w:val="none"/>
          <w:lang w:val="en-US" w:eastAsia="zh-CN"/>
        </w:rPr>
        <w:t>，对涉嫌犯罪但无逮捕必要的，决定不批捕48人；对犯罪情节轻微，依法不需要判处刑罚或免予刑罚的，决定不起诉37人；对于不需要继续羁押的犯罪嫌疑人，依法变更强制措</w:t>
      </w:r>
      <w:r>
        <w:rPr>
          <w:rFonts w:hint="eastAsia" w:ascii="仿宋_GB2312" w:eastAsia="仿宋_GB2312"/>
          <w:sz w:val="32"/>
          <w:szCs w:val="32"/>
          <w:lang w:val="en-US" w:eastAsia="zh-CN"/>
        </w:rPr>
        <w:t>施</w:t>
      </w:r>
      <w:r>
        <w:rPr>
          <w:rFonts w:hint="eastAsia" w:ascii="Times New Roman" w:hAnsi="Times New Roman" w:eastAsia="仿宋_GB2312" w:cs="Times New Roman"/>
          <w:color w:val="auto"/>
          <w:spacing w:val="-4"/>
          <w:sz w:val="32"/>
          <w:szCs w:val="32"/>
          <w:u w:val="none"/>
          <w:lang w:val="en-US" w:eastAsia="zh-CN"/>
        </w:rPr>
        <w:t>4人。依法适用认罪认罚从宽制度</w:t>
      </w:r>
      <w:r>
        <w:rPr>
          <w:rFonts w:hint="default" w:ascii="Times New Roman" w:hAnsi="Times New Roman" w:eastAsia="微软雅黑" w:cs="Times New Roman"/>
          <w:color w:val="auto"/>
          <w:spacing w:val="-4"/>
          <w:sz w:val="36"/>
          <w:szCs w:val="36"/>
          <w:u w:val="none"/>
          <w:vertAlign w:val="superscript"/>
          <w:lang w:val="en-US" w:eastAsia="zh-CN"/>
        </w:rPr>
        <w:t>②</w:t>
      </w:r>
      <w:r>
        <w:rPr>
          <w:rFonts w:hint="eastAsia" w:ascii="Times New Roman" w:hAnsi="Times New Roman" w:eastAsia="仿宋_GB2312" w:cs="Times New Roman"/>
          <w:color w:val="auto"/>
          <w:spacing w:val="-4"/>
          <w:sz w:val="32"/>
          <w:szCs w:val="32"/>
          <w:u w:val="none"/>
          <w:lang w:val="en-US" w:eastAsia="zh-CN"/>
        </w:rPr>
        <w:t>，超过90%的犯罪嫌疑人在检察环节认罪认罚，一审服判率95%。办理刑事执行监督案件46件，联合司法局对辖区10个司法所巡回检察，</w:t>
      </w:r>
      <w:r>
        <w:rPr>
          <w:rFonts w:hint="default" w:ascii="Times New Roman" w:hAnsi="Times New Roman" w:eastAsia="仿宋_GB2312" w:cs="Times New Roman"/>
          <w:color w:val="auto"/>
          <w:spacing w:val="-4"/>
          <w:sz w:val="32"/>
          <w:szCs w:val="32"/>
          <w:u w:val="none"/>
          <w:lang w:val="en-US" w:eastAsia="zh-CN"/>
        </w:rPr>
        <w:t>纠正社区矫正不当案件14件</w:t>
      </w:r>
      <w:r>
        <w:rPr>
          <w:rFonts w:hint="eastAsia" w:ascii="Times New Roman" w:hAnsi="Times New Roman" w:eastAsia="仿宋_GB2312" w:cs="Times New Roman"/>
          <w:color w:val="auto"/>
          <w:spacing w:val="-4"/>
          <w:sz w:val="32"/>
          <w:szCs w:val="32"/>
          <w:u w:val="none"/>
          <w:lang w:val="en-US" w:eastAsia="zh-CN"/>
        </w:rPr>
        <w:t>，</w:t>
      </w:r>
      <w:r>
        <w:rPr>
          <w:rFonts w:hint="default" w:ascii="Times New Roman" w:hAnsi="Times New Roman" w:eastAsia="仿宋_GB2312" w:cs="Times New Roman"/>
          <w:color w:val="auto"/>
          <w:spacing w:val="-4"/>
          <w:sz w:val="32"/>
          <w:szCs w:val="32"/>
          <w:u w:val="none"/>
          <w:lang w:val="en-US" w:eastAsia="zh-CN"/>
        </w:rPr>
        <w:t>核查纠正脱管案件4件</w:t>
      </w:r>
      <w:r>
        <w:rPr>
          <w:rFonts w:hint="eastAsia" w:ascii="Times New Roman" w:hAnsi="Times New Roman" w:eastAsia="仿宋_GB2312" w:cs="Times New Roman"/>
          <w:color w:val="auto"/>
          <w:spacing w:val="-4"/>
          <w:sz w:val="32"/>
          <w:szCs w:val="32"/>
          <w:u w:val="none"/>
          <w:lang w:val="en-US" w:eastAsia="zh-CN"/>
        </w:rPr>
        <w:t>。强化民事诉讼监督，办理案件39件，制发检察建议27件，采纳率100%。开展涉民事终本执行专项监督，评查案件200余件，督促规范执行程序，确保当事人合法权益。加大行政检察监督力度，办理案件49件，推动行刑反向衔接</w:t>
      </w:r>
      <w:r>
        <w:rPr>
          <w:rFonts w:hint="default" w:ascii="Times New Roman" w:hAnsi="Times New Roman" w:eastAsia="微软雅黑" w:cs="Times New Roman"/>
          <w:color w:val="auto"/>
          <w:spacing w:val="-4"/>
          <w:sz w:val="36"/>
          <w:szCs w:val="36"/>
          <w:u w:val="none"/>
          <w:vertAlign w:val="superscript"/>
          <w:lang w:val="en-US" w:eastAsia="zh-CN"/>
        </w:rPr>
        <w:t>③</w:t>
      </w:r>
      <w:r>
        <w:rPr>
          <w:rFonts w:hint="eastAsia" w:ascii="Times New Roman" w:hAnsi="Times New Roman" w:eastAsia="仿宋_GB2312" w:cs="Times New Roman"/>
          <w:color w:val="auto"/>
          <w:spacing w:val="-4"/>
          <w:sz w:val="32"/>
          <w:szCs w:val="32"/>
          <w:u w:val="none"/>
          <w:lang w:val="en-US" w:eastAsia="zh-CN"/>
        </w:rPr>
        <w:t>，协同江苏、山东等省办理多起跨区域案件，打破行刑反向衔接“地域墙”。深化检察公益诉讼，开展专项监督16项，立案51件，发出行政公益诉讼检察建议</w:t>
      </w:r>
      <w:r>
        <w:rPr>
          <w:rFonts w:hint="default" w:ascii="Times New Roman" w:hAnsi="Times New Roman" w:eastAsia="微软雅黑" w:cs="Times New Roman"/>
          <w:color w:val="auto"/>
          <w:spacing w:val="-4"/>
          <w:sz w:val="36"/>
          <w:szCs w:val="36"/>
          <w:u w:val="none"/>
          <w:vertAlign w:val="superscript"/>
          <w:lang w:val="en-US" w:eastAsia="zh-CN"/>
        </w:rPr>
        <w:t>④</w:t>
      </w:r>
      <w:r>
        <w:rPr>
          <w:rFonts w:hint="eastAsia" w:ascii="Times New Roman" w:hAnsi="Times New Roman" w:eastAsia="仿宋_GB2312" w:cs="Times New Roman"/>
          <w:color w:val="auto"/>
          <w:spacing w:val="-4"/>
          <w:sz w:val="32"/>
          <w:szCs w:val="32"/>
          <w:u w:val="none"/>
          <w:lang w:val="en-US" w:eastAsia="zh-CN"/>
        </w:rPr>
        <w:t>37件，助推法治政府建设。</w:t>
      </w:r>
    </w:p>
    <w:p w14:paraId="77C90B40">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_GB2312" w:hAnsi="楷体_GB2312" w:eastAsia="楷体_GB2312" w:cs="楷体_GB2312"/>
          <w:color w:val="auto"/>
          <w:spacing w:val="-4"/>
          <w:sz w:val="32"/>
          <w:szCs w:val="32"/>
          <w:u w:val="none"/>
          <w:lang w:val="en-US" w:eastAsia="zh-CN"/>
        </w:rPr>
        <w:t>强化职务犯罪侦办。</w:t>
      </w:r>
      <w:r>
        <w:rPr>
          <w:rFonts w:hint="eastAsia" w:ascii="Times New Roman" w:hAnsi="Times New Roman" w:eastAsia="仿宋_GB2312" w:cs="Times New Roman"/>
          <w:color w:val="auto"/>
          <w:spacing w:val="-4"/>
          <w:sz w:val="32"/>
          <w:szCs w:val="32"/>
          <w:u w:val="none"/>
          <w:lang w:val="en-US" w:eastAsia="zh-CN"/>
        </w:rPr>
        <w:t>在市检察院领导下，运用机动侦查权</w:t>
      </w:r>
      <w:r>
        <w:rPr>
          <w:rFonts w:hint="default" w:ascii="Times New Roman" w:hAnsi="Times New Roman" w:eastAsia="微软雅黑" w:cs="Times New Roman"/>
          <w:color w:val="auto"/>
          <w:spacing w:val="-4"/>
          <w:kern w:val="2"/>
          <w:sz w:val="36"/>
          <w:szCs w:val="36"/>
          <w:u w:val="none"/>
          <w:vertAlign w:val="superscript"/>
          <w:lang w:val="en-US" w:eastAsia="zh-CN" w:bidi="ar-SA"/>
        </w:rPr>
        <w:t>⑤</w:t>
      </w:r>
      <w:r>
        <w:rPr>
          <w:rFonts w:hint="eastAsia" w:ascii="Times New Roman" w:hAnsi="Times New Roman" w:eastAsia="仿宋_GB2312" w:cs="Times New Roman"/>
          <w:color w:val="auto"/>
          <w:spacing w:val="-4"/>
          <w:sz w:val="32"/>
          <w:szCs w:val="32"/>
          <w:u w:val="none"/>
          <w:lang w:val="en-US" w:eastAsia="zh-CN"/>
        </w:rPr>
        <w:t>立案查处凤城市公安局网络安全大队原大队长刘某敲诈勒索案；协助市纪委监委和市检察院办理“4·25”专案，调查核实两名司法人员滥用职权案；依法提起公诉6人。</w:t>
      </w:r>
    </w:p>
    <w:p w14:paraId="143A2B22">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黑体" w:hAnsi="黑体" w:eastAsia="黑体" w:cs="黑体"/>
          <w:color w:val="auto"/>
          <w:spacing w:val="-4"/>
          <w:sz w:val="32"/>
          <w:szCs w:val="32"/>
          <w:u w:val="none"/>
          <w:lang w:val="en-US" w:eastAsia="zh-CN"/>
        </w:rPr>
      </w:pPr>
      <w:r>
        <w:rPr>
          <w:rFonts w:hint="eastAsia" w:ascii="黑体" w:hAnsi="黑体" w:eastAsia="黑体" w:cs="黑体"/>
          <w:color w:val="auto"/>
          <w:spacing w:val="-4"/>
          <w:sz w:val="32"/>
          <w:szCs w:val="32"/>
          <w:u w:val="none"/>
          <w:lang w:val="en-US" w:eastAsia="zh-CN"/>
        </w:rPr>
        <w:t>二、坚持服务大局推进高质量发展</w:t>
      </w:r>
    </w:p>
    <w:p w14:paraId="167D8A7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全力营造法治化营商环境。</w:t>
      </w:r>
      <w:r>
        <w:rPr>
          <w:rFonts w:hint="eastAsia" w:ascii="Times New Roman" w:hAnsi="Times New Roman" w:eastAsia="仿宋_GB2312" w:cs="Times New Roman"/>
          <w:color w:val="auto"/>
          <w:spacing w:val="-4"/>
          <w:kern w:val="2"/>
          <w:sz w:val="32"/>
          <w:szCs w:val="32"/>
          <w:u w:val="none"/>
          <w:lang w:val="en-US" w:eastAsia="zh-CN" w:bidi="ar-SA"/>
        </w:rPr>
        <w:t>依法批准逮捕经济犯罪嫌疑人64人，提起公诉36人。办理沿江景</w:t>
      </w:r>
      <w:r>
        <w:rPr>
          <w:rFonts w:hint="eastAsia" w:ascii="Times New Roman" w:hAnsi="Times New Roman" w:eastAsia="仿宋_GB2312" w:cs="Times New Roman"/>
          <w:color w:val="auto"/>
          <w:spacing w:val="-4"/>
          <w:sz w:val="32"/>
          <w:szCs w:val="32"/>
          <w:u w:val="none"/>
          <w:lang w:val="en-US" w:eastAsia="zh-CN"/>
        </w:rPr>
        <w:t>区“黑导游”强迫交易、生产销售假药专案，组成工作专班，提前介入引导侦查取证，批准逮捕犯罪嫌疑人23人，重塑沿江旅游品牌形象。开展“违规异地执法和趋利性执法司法专项监督”</w:t>
      </w:r>
      <w:r>
        <w:rPr>
          <w:rFonts w:hint="default" w:ascii="Times New Roman" w:hAnsi="Times New Roman" w:eastAsia="微软雅黑" w:cs="Times New Roman"/>
          <w:color w:val="auto"/>
          <w:spacing w:val="-4"/>
          <w:kern w:val="2"/>
          <w:sz w:val="36"/>
          <w:szCs w:val="36"/>
          <w:u w:val="none"/>
          <w:vertAlign w:val="superscript"/>
          <w:lang w:val="en-US" w:eastAsia="zh-CN" w:bidi="ar-SA"/>
        </w:rPr>
        <w:t>⑥</w:t>
      </w:r>
      <w:r>
        <w:rPr>
          <w:rFonts w:hint="eastAsia" w:ascii="Times New Roman" w:hAnsi="Times New Roman" w:eastAsia="仿宋_GB2312" w:cs="Times New Roman"/>
          <w:color w:val="auto"/>
          <w:spacing w:val="-4"/>
          <w:sz w:val="32"/>
          <w:szCs w:val="32"/>
          <w:u w:val="none"/>
          <w:lang w:val="en-US" w:eastAsia="zh-CN"/>
        </w:rPr>
        <w:t>，监督撤销涉异地企业案件2件。</w:t>
      </w:r>
      <w:bookmarkStart w:id="0" w:name="_GoBack"/>
      <w:bookmarkEnd w:id="0"/>
      <w:r>
        <w:rPr>
          <w:rFonts w:hint="eastAsia" w:ascii="Times New Roman" w:hAnsi="Times New Roman" w:eastAsia="仿宋_GB2312" w:cs="Times New Roman"/>
          <w:color w:val="auto"/>
          <w:spacing w:val="-4"/>
          <w:sz w:val="32"/>
          <w:szCs w:val="32"/>
          <w:u w:val="none"/>
          <w:lang w:val="en-US" w:eastAsia="zh-CN"/>
        </w:rPr>
        <w:t>协同司法局靠前指导涉渔社区矫正执行，提升矫正对象的法治和安全意识，维护海上安全生产秩序。</w:t>
      </w:r>
    </w:p>
    <w:p w14:paraId="239B8C74">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助力打造文明城区建设。</w:t>
      </w:r>
      <w:r>
        <w:rPr>
          <w:rFonts w:hint="eastAsia" w:ascii="Times New Roman" w:hAnsi="Times New Roman" w:eastAsia="仿宋_GB2312" w:cs="Times New Roman"/>
          <w:color w:val="auto"/>
          <w:spacing w:val="-4"/>
          <w:sz w:val="32"/>
          <w:szCs w:val="32"/>
          <w:u w:val="none"/>
          <w:lang w:val="en-US" w:eastAsia="zh-CN"/>
        </w:rPr>
        <w:t>开展无障碍软环境建设专项行动，针对医疗服务机构为残疾人、老年人提供无障碍服务不到位等问题，制发检察建议11件，督促职能部门切实保障特殊群体无障碍就医权益。配合区文旅、住建等部门推进张闻天旧居修缮等工作，对原“凯旋楼”墙体安全隐患排除和修复进行监督，共同促进“九纬路省级历史文化街区”的保护和利用。加强12309检察服务中心建设，打造文明窗口，提供优质检察服务。 </w:t>
      </w:r>
    </w:p>
    <w:p w14:paraId="1EFBCF2A">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用力促进基层社会治理。</w:t>
      </w:r>
      <w:r>
        <w:rPr>
          <w:rFonts w:hint="eastAsia" w:ascii="Times New Roman" w:hAnsi="Times New Roman" w:eastAsia="仿宋_GB2312" w:cs="Times New Roman"/>
          <w:color w:val="auto"/>
          <w:spacing w:val="-4"/>
          <w:sz w:val="32"/>
          <w:szCs w:val="32"/>
          <w:u w:val="none"/>
          <w:lang w:val="en-US" w:eastAsia="zh-CN"/>
        </w:rPr>
        <w:t>着眼抓前端、强预防，探索“检察建议+调研报告”双驱动模式，就越境捕捞、公职人员醉酒驾驶等突出问题向党委、人大、政府专题报告，为领导决策提供参考。参与社区网格化管理，选派60名干警与20个社区网格“结对共建”。持续推进政法干部下基层200余人次，化解矛盾纠纷52件，</w:t>
      </w:r>
      <w:r>
        <w:rPr>
          <w:rFonts w:hint="default" w:ascii="Times New Roman" w:hAnsi="Times New Roman" w:eastAsia="仿宋_GB2312" w:cs="Times New Roman"/>
          <w:color w:val="auto"/>
          <w:spacing w:val="-4"/>
          <w:sz w:val="32"/>
          <w:szCs w:val="32"/>
          <w:u w:val="none"/>
          <w:lang w:val="en-US" w:eastAsia="zh-CN"/>
        </w:rPr>
        <w:t>为群众办实事5件</w:t>
      </w:r>
      <w:r>
        <w:rPr>
          <w:rFonts w:hint="eastAsia" w:ascii="Times New Roman" w:hAnsi="Times New Roman" w:eastAsia="仿宋_GB2312" w:cs="Times New Roman"/>
          <w:color w:val="auto"/>
          <w:spacing w:val="-4"/>
          <w:sz w:val="32"/>
          <w:szCs w:val="32"/>
          <w:u w:val="none"/>
          <w:lang w:val="en-US" w:eastAsia="zh-CN"/>
        </w:rPr>
        <w:t>，</w:t>
      </w:r>
      <w:r>
        <w:rPr>
          <w:rFonts w:hint="default" w:ascii="Times New Roman" w:hAnsi="Times New Roman" w:eastAsia="仿宋_GB2312" w:cs="Times New Roman"/>
          <w:color w:val="auto"/>
          <w:spacing w:val="-4"/>
          <w:sz w:val="32"/>
          <w:szCs w:val="32"/>
          <w:u w:val="none"/>
          <w:lang w:val="en-US" w:eastAsia="zh-CN"/>
        </w:rPr>
        <w:t>开展普法宣传</w:t>
      </w:r>
      <w:r>
        <w:rPr>
          <w:rFonts w:hint="eastAsia" w:ascii="Times New Roman" w:hAnsi="Times New Roman" w:eastAsia="仿宋_GB2312" w:cs="Times New Roman"/>
          <w:color w:val="auto"/>
          <w:spacing w:val="-4"/>
          <w:sz w:val="32"/>
          <w:szCs w:val="32"/>
          <w:u w:val="none"/>
          <w:lang w:val="en-US" w:eastAsia="zh-CN"/>
        </w:rPr>
        <w:t>和法律咨询</w:t>
      </w:r>
      <w:r>
        <w:rPr>
          <w:rFonts w:hint="default" w:ascii="Times New Roman" w:hAnsi="Times New Roman" w:eastAsia="仿宋_GB2312" w:cs="Times New Roman"/>
          <w:color w:val="auto"/>
          <w:spacing w:val="-4"/>
          <w:sz w:val="32"/>
          <w:szCs w:val="32"/>
          <w:u w:val="none"/>
          <w:lang w:val="en-US" w:eastAsia="zh-CN"/>
        </w:rPr>
        <w:t>74次</w:t>
      </w:r>
      <w:r>
        <w:rPr>
          <w:rFonts w:hint="eastAsia" w:ascii="Times New Roman" w:hAnsi="Times New Roman" w:eastAsia="仿宋_GB2312" w:cs="Times New Roman"/>
          <w:color w:val="auto"/>
          <w:spacing w:val="-4"/>
          <w:sz w:val="32"/>
          <w:szCs w:val="32"/>
          <w:u w:val="none"/>
          <w:lang w:val="en-US" w:eastAsia="zh-CN"/>
        </w:rPr>
        <w:t>。探索“不起诉+社会公益服务”机制，将</w:t>
      </w:r>
      <w:r>
        <w:rPr>
          <w:rFonts w:hint="default" w:ascii="Times New Roman" w:hAnsi="Times New Roman" w:eastAsia="仿宋_GB2312" w:cs="Times New Roman"/>
          <w:color w:val="auto"/>
          <w:spacing w:val="-4"/>
          <w:sz w:val="32"/>
          <w:szCs w:val="32"/>
          <w:u w:val="none"/>
          <w:lang w:val="en-US" w:eastAsia="zh-CN"/>
        </w:rPr>
        <w:t>社会公益服务融入</w:t>
      </w:r>
      <w:r>
        <w:rPr>
          <w:rFonts w:hint="eastAsia" w:ascii="Times New Roman" w:hAnsi="Times New Roman" w:eastAsia="仿宋_GB2312" w:cs="Times New Roman"/>
          <w:color w:val="auto"/>
          <w:spacing w:val="-4"/>
          <w:sz w:val="32"/>
          <w:szCs w:val="32"/>
          <w:u w:val="none"/>
          <w:lang w:val="en-US" w:eastAsia="zh-CN"/>
        </w:rPr>
        <w:t>行刑反向衔接程序。对中学生王某因盗窃犯罪情节轻微决定不起诉，并协调社区搭建多方教育帮扶平台，帮助其通过公益服务实现自我矫正，既促进基层治理资源的整合利用，又降低了再犯风险‌‌。</w:t>
      </w:r>
    </w:p>
    <w:p w14:paraId="250B5C40">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黑体" w:hAnsi="黑体" w:eastAsia="黑体" w:cs="黑体"/>
          <w:color w:val="auto"/>
          <w:spacing w:val="-4"/>
          <w:sz w:val="32"/>
          <w:szCs w:val="32"/>
          <w:u w:val="none"/>
          <w:lang w:val="en-US" w:eastAsia="zh-CN"/>
        </w:rPr>
      </w:pPr>
      <w:r>
        <w:rPr>
          <w:rFonts w:hint="eastAsia" w:ascii="黑体" w:hAnsi="黑体" w:eastAsia="黑体" w:cs="黑体"/>
          <w:color w:val="auto"/>
          <w:spacing w:val="-4"/>
          <w:sz w:val="32"/>
          <w:szCs w:val="32"/>
          <w:u w:val="none"/>
          <w:lang w:val="en-US" w:eastAsia="zh-CN"/>
        </w:rPr>
        <w:t>三、坚定人民立场守护高标准民生</w:t>
      </w:r>
    </w:p>
    <w:p w14:paraId="17BD303B">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尽心解决群众急难愁盼。</w:t>
      </w:r>
      <w:r>
        <w:rPr>
          <w:rFonts w:hint="eastAsia" w:ascii="Times New Roman" w:hAnsi="Times New Roman" w:eastAsia="仿宋_GB2312" w:cs="Times New Roman"/>
          <w:color w:val="auto"/>
          <w:spacing w:val="-4"/>
          <w:sz w:val="32"/>
          <w:szCs w:val="32"/>
          <w:u w:val="none"/>
          <w:lang w:val="en-US" w:eastAsia="zh-CN"/>
        </w:rPr>
        <w:t>着力加强民生司法保障，对制售有毒有害食品、假药劣药犯罪加大打击力度，起诉涉食品、药品类犯罪嫌疑人23人。开展“食药安全益路行”和“社区团购”专项活动，重点检查辖区内食品经营者使用食品添加剂和社区自提站点的食品存放条件，保证食品安全。开展执业药师挂证专项监督，对违规销售处方药问题进行纠正，维护居民的身体健康和生命安全。办理司法救助案件5人，向属地政府部门移送社会化救助线索</w:t>
      </w:r>
      <w:r>
        <w:rPr>
          <w:rFonts w:hint="default" w:ascii="Times New Roman" w:hAnsi="Times New Roman" w:eastAsia="仿宋_GB2312" w:cs="Times New Roman"/>
          <w:color w:val="auto"/>
          <w:spacing w:val="-4"/>
          <w:sz w:val="32"/>
          <w:szCs w:val="32"/>
          <w:u w:val="none"/>
          <w:lang w:val="en-US" w:eastAsia="zh-CN"/>
        </w:rPr>
        <w:t>5</w:t>
      </w:r>
      <w:r>
        <w:rPr>
          <w:rFonts w:hint="eastAsia" w:ascii="Times New Roman" w:hAnsi="Times New Roman" w:eastAsia="仿宋_GB2312" w:cs="Times New Roman"/>
          <w:color w:val="auto"/>
          <w:spacing w:val="-4"/>
          <w:sz w:val="32"/>
          <w:szCs w:val="32"/>
          <w:u w:val="none"/>
          <w:lang w:val="en-US" w:eastAsia="zh-CN"/>
        </w:rPr>
        <w:t>件。</w:t>
      </w:r>
    </w:p>
    <w:p w14:paraId="061A89D8">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暖心保障特殊群体权益。</w:t>
      </w:r>
      <w:r>
        <w:rPr>
          <w:rFonts w:hint="eastAsia" w:ascii="Times New Roman" w:hAnsi="Times New Roman" w:eastAsia="仿宋_GB2312" w:cs="Times New Roman"/>
          <w:color w:val="auto"/>
          <w:spacing w:val="-4"/>
          <w:sz w:val="32"/>
          <w:szCs w:val="32"/>
          <w:u w:val="none"/>
          <w:lang w:val="en-US" w:eastAsia="zh-CN"/>
        </w:rPr>
        <w:t>加强军人权益维护，针对辖区多家卫生服务中心诊区未张贴“军人优先”标识问题开展立案监督，并与主管行政机关共同督促完成整改。保障妇女合法权益，对辖区内派出所是否履行家庭暴力告诫职责立案13件。筑牢未成年人权益保护防线，办理未成年人人身损害赔偿支持起诉案，有效保障未成年人行使诉权。开展治理欠薪冬季专项行动，办理农民工欠薪支持起诉案件8件，帮助追索劳动报酬19.9万元，其中3件通过诉前调解达成和解，拖欠三年多的7.5万元工资一次性给付完毕。对快递行业等新就业形态劳动者合法权益保障进行监督，推动行业治理。</w:t>
      </w:r>
    </w:p>
    <w:p w14:paraId="46C14AFF">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悉心化解涉法涉诉矛盾纠纷。</w:t>
      </w:r>
      <w:r>
        <w:rPr>
          <w:rFonts w:hint="eastAsia" w:ascii="Times New Roman" w:hAnsi="Times New Roman" w:eastAsia="仿宋_GB2312" w:cs="Times New Roman"/>
          <w:color w:val="auto"/>
          <w:spacing w:val="-4"/>
          <w:sz w:val="32"/>
          <w:szCs w:val="32"/>
          <w:u w:val="none"/>
          <w:lang w:val="en-US" w:eastAsia="zh-CN"/>
        </w:rPr>
        <w:t>坚持和发展新时代“枫桥经验”，确保群众每个涉检诉求都有人办、依法办。推进“化解矛盾风险、维护社会稳定”专项治理，接待群众来信来访296人次，7日内程序性回复率、3月内办理过程或结果答复率均为100%。对重点信访案件，全部由院领导包案，带头接访，跟踪做好矛盾化解和人员稳控等后续工作，妥善处置非吸类案件群体访100余人次。参与社会治安综合治理中心建设，派员入驻参与矛盾化解工作，努力帮助当事人既解“法结”又解“心结”。</w:t>
      </w:r>
    </w:p>
    <w:p w14:paraId="7C68BDE7">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default" w:ascii="黑体" w:hAnsi="黑体" w:eastAsia="黑体" w:cs="黑体"/>
          <w:color w:val="auto"/>
          <w:spacing w:val="-4"/>
          <w:sz w:val="32"/>
          <w:szCs w:val="32"/>
          <w:u w:val="none"/>
          <w:lang w:val="en-US" w:eastAsia="zh-CN"/>
        </w:rPr>
      </w:pPr>
      <w:r>
        <w:rPr>
          <w:rFonts w:hint="eastAsia" w:ascii="黑体" w:hAnsi="黑体" w:eastAsia="黑体" w:cs="黑体"/>
          <w:color w:val="auto"/>
          <w:spacing w:val="-4"/>
          <w:sz w:val="32"/>
          <w:szCs w:val="32"/>
          <w:u w:val="none"/>
          <w:lang w:val="en-US" w:eastAsia="zh-CN"/>
        </w:rPr>
        <w:t>四、坚守检察底色建设高素质队伍</w:t>
      </w:r>
    </w:p>
    <w:p w14:paraId="0D8EA22E">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Times New Roman"/>
          <w:color w:val="auto"/>
          <w:spacing w:val="-4"/>
          <w:sz w:val="30"/>
          <w:szCs w:val="30"/>
          <w:u w:val="none"/>
          <w:lang w:val="en-US" w:eastAsia="zh-CN"/>
        </w:rPr>
      </w:pPr>
      <w:r>
        <w:rPr>
          <w:rFonts w:hint="eastAsia" w:ascii="楷体" w:hAnsi="楷体" w:eastAsia="楷体" w:cs="楷体"/>
          <w:color w:val="auto"/>
          <w:spacing w:val="-4"/>
          <w:sz w:val="32"/>
          <w:szCs w:val="32"/>
          <w:u w:val="none"/>
          <w:lang w:val="en-US" w:eastAsia="zh-CN"/>
        </w:rPr>
        <w:t>持续加强政治建设。</w:t>
      </w:r>
      <w:r>
        <w:rPr>
          <w:rFonts w:hint="eastAsia" w:ascii="Times New Roman" w:hAnsi="Times New Roman" w:eastAsia="仿宋_GB2312" w:cs="Times New Roman"/>
          <w:color w:val="auto"/>
          <w:spacing w:val="-4"/>
          <w:sz w:val="32"/>
          <w:szCs w:val="32"/>
          <w:u w:val="none"/>
          <w:lang w:val="en-US" w:eastAsia="zh-CN"/>
        </w:rPr>
        <w:t>院领导带头学习好、贯彻好党的二十届四中全会精神，坚定拥护“两个确立”、坚决做到“两个维护”，建强班子带好队伍。结合深入贯彻中央八项规定精神学习教育，完善“第一议题”、党组理论学习中心组、领导干部讲党课等制度。加强请示报告，对重大事项、重大敏感案件、重要措施等，严格按照规定向区委和上级检察院报告，确保上下贯通，执行有力。不断增强党组织政治功能和组织功能，推进党建与业务深度融合</w:t>
      </w:r>
      <w:r>
        <w:rPr>
          <w:rFonts w:hint="eastAsia" w:ascii="仿宋_GB2312" w:hAnsi="仿宋_GB2312" w:eastAsia="仿宋_GB2312" w:cs="仿宋_GB2312"/>
          <w:color w:val="auto"/>
          <w:spacing w:val="-4"/>
          <w:sz w:val="32"/>
          <w:szCs w:val="32"/>
          <w:u w:val="none"/>
        </w:rPr>
        <w:t>。</w:t>
      </w:r>
      <w:r>
        <w:rPr>
          <w:rFonts w:hint="eastAsia" w:ascii="Times New Roman" w:hAnsi="Times New Roman" w:eastAsia="仿宋_GB2312" w:cs="Times New Roman"/>
          <w:color w:val="auto"/>
          <w:spacing w:val="-4"/>
          <w:sz w:val="32"/>
          <w:szCs w:val="32"/>
          <w:u w:val="none"/>
          <w:lang w:val="en-US" w:eastAsia="zh-CN"/>
        </w:rPr>
        <w:t>强化巡察整改政治担当，推动成果转化制度机制16项。落实意识形态工作责任制，管好守住检察机关意识形态主阵地，</w:t>
      </w:r>
      <w:r>
        <w:rPr>
          <w:rFonts w:hint="eastAsia" w:ascii="仿宋_GB2312" w:hAnsi="仿宋_GB2312" w:eastAsia="仿宋_GB2312" w:cs="仿宋_GB2312"/>
          <w:color w:val="auto"/>
          <w:spacing w:val="-4"/>
          <w:sz w:val="32"/>
          <w:szCs w:val="32"/>
          <w:u w:val="none"/>
          <w:lang w:val="en-US" w:eastAsia="zh-CN"/>
        </w:rPr>
        <w:t>获评</w:t>
      </w:r>
      <w:r>
        <w:rPr>
          <w:rFonts w:hint="default" w:ascii="Times New Roman" w:hAnsi="Times New Roman" w:eastAsia="仿宋_GB2312" w:cs="Times New Roman"/>
          <w:b w:val="0"/>
          <w:bCs w:val="0"/>
          <w:color w:val="auto"/>
          <w:spacing w:val="-4"/>
          <w:sz w:val="32"/>
          <w:szCs w:val="32"/>
          <w:u w:val="none"/>
          <w:lang w:val="en-US" w:eastAsia="zh-CN"/>
        </w:rPr>
        <w:t>202</w:t>
      </w:r>
      <w:r>
        <w:rPr>
          <w:rFonts w:hint="eastAsia" w:ascii="Times New Roman" w:hAnsi="Times New Roman" w:eastAsia="仿宋_GB2312" w:cs="Times New Roman"/>
          <w:b w:val="0"/>
          <w:bCs w:val="0"/>
          <w:color w:val="auto"/>
          <w:spacing w:val="-4"/>
          <w:sz w:val="32"/>
          <w:szCs w:val="32"/>
          <w:u w:val="none"/>
          <w:lang w:val="en-US" w:eastAsia="zh-CN"/>
        </w:rPr>
        <w:t>5</w:t>
      </w:r>
      <w:r>
        <w:rPr>
          <w:rFonts w:hint="eastAsia" w:ascii="仿宋_GB2312" w:hAnsi="仿宋_GB2312" w:eastAsia="仿宋_GB2312" w:cs="仿宋_GB2312"/>
          <w:color w:val="auto"/>
          <w:spacing w:val="-4"/>
          <w:sz w:val="32"/>
          <w:szCs w:val="32"/>
          <w:u w:val="none"/>
          <w:lang w:val="en-US" w:eastAsia="zh-CN"/>
        </w:rPr>
        <w:t>年度全国检察机关全媒体生产传播工作成绩突出单位。</w:t>
      </w:r>
    </w:p>
    <w:p w14:paraId="72DCF9BB">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强化专业素能提升。</w:t>
      </w:r>
      <w:r>
        <w:rPr>
          <w:rFonts w:hint="eastAsia" w:ascii="Times New Roman" w:hAnsi="Times New Roman" w:eastAsia="仿宋_GB2312" w:cs="Times New Roman"/>
          <w:color w:val="auto"/>
          <w:spacing w:val="-4"/>
          <w:sz w:val="32"/>
          <w:szCs w:val="32"/>
          <w:u w:val="none"/>
          <w:lang w:val="en-US" w:eastAsia="zh-CN"/>
        </w:rPr>
        <w:t>推进“人才兴检”，组织教育培训和技能训练80余次。注重岗位练兵，让年轻干警在重大疑难复杂案件办理、信访维稳中担当作为。健全检察人员思想动态分析研判机制，开展经常性思想政治教育。优化检察人员考核评价机制，营造比学赶超、争先创优氛围。18人次受到上级表彰，2人在省、市检察机关业务竞赛中获奖，8人被提拔使用，1篇论文在全国重点期刊《人民检察》刊发，7篇论文在全国、全省研讨征文中获奖。</w:t>
      </w:r>
    </w:p>
    <w:p w14:paraId="205B416F">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default" w:ascii="楷体" w:hAnsi="楷体" w:eastAsia="楷体" w:cs="楷体"/>
          <w:color w:val="000000" w:themeColor="text1"/>
          <w:spacing w:val="-4"/>
          <w:sz w:val="32"/>
          <w:szCs w:val="32"/>
          <w:u w:val="none"/>
          <w:lang w:val="en-US" w:eastAsia="zh-CN"/>
          <w14:textFill>
            <w14:solidFill>
              <w14:schemeClr w14:val="tx1"/>
            </w14:solidFill>
          </w14:textFill>
        </w:rPr>
      </w:pPr>
      <w:r>
        <w:rPr>
          <w:rFonts w:hint="eastAsia" w:ascii="楷体" w:hAnsi="楷体" w:eastAsia="楷体" w:cs="楷体"/>
          <w:color w:val="000000" w:themeColor="text1"/>
          <w:spacing w:val="-4"/>
          <w:sz w:val="32"/>
          <w:szCs w:val="32"/>
          <w:u w:val="none"/>
          <w:lang w:val="en-US" w:eastAsia="zh-CN"/>
          <w14:textFill>
            <w14:solidFill>
              <w14:schemeClr w14:val="tx1"/>
            </w14:solidFill>
          </w14:textFill>
        </w:rPr>
        <w:t>一体抓实“三个管理”</w:t>
      </w:r>
      <w:r>
        <w:rPr>
          <w:rFonts w:hint="default" w:ascii="Times New Roman" w:hAnsi="Times New Roman" w:eastAsia="微软雅黑" w:cs="Times New Roman"/>
          <w:color w:val="auto"/>
          <w:spacing w:val="-4"/>
          <w:kern w:val="2"/>
          <w:sz w:val="36"/>
          <w:szCs w:val="36"/>
          <w:u w:val="none"/>
          <w:vertAlign w:val="superscript"/>
          <w:lang w:val="en-US" w:eastAsia="zh-CN" w:bidi="ar-SA"/>
        </w:rPr>
        <w:t>⑦</w:t>
      </w:r>
      <w:r>
        <w:rPr>
          <w:rFonts w:hint="eastAsia" w:ascii="楷体" w:hAnsi="楷体" w:eastAsia="楷体" w:cs="楷体"/>
          <w:color w:val="000000" w:themeColor="text1"/>
          <w:spacing w:val="-4"/>
          <w:sz w:val="32"/>
          <w:szCs w:val="32"/>
          <w:u w:val="none"/>
          <w:lang w:val="en-US" w:eastAsia="zh-CN"/>
          <w14:textFill>
            <w14:solidFill>
              <w14:schemeClr w14:val="tx1"/>
            </w14:solidFill>
          </w14:textFill>
        </w:rPr>
        <w:t>。</w:t>
      </w:r>
      <w:r>
        <w:rPr>
          <w:rFonts w:hint="eastAsia" w:ascii="Times New Roman" w:hAnsi="Times New Roman" w:eastAsia="仿宋_GB2312" w:cs="Times New Roman"/>
          <w:color w:val="auto"/>
          <w:spacing w:val="-4"/>
          <w:sz w:val="32"/>
          <w:szCs w:val="32"/>
          <w:u w:val="none"/>
          <w:lang w:val="en-US" w:eastAsia="zh-CN"/>
        </w:rPr>
        <w:t>发挥好检察业务管理、案件管理、质量管理对检察工作的正向推动作用，积</w:t>
      </w:r>
      <w:r>
        <w:rPr>
          <w:rFonts w:hint="eastAsia" w:ascii="Times New Roman" w:hAnsi="Times New Roman" w:eastAsia="仿宋_GB2312" w:cs="Times New Roman"/>
          <w:color w:val="000000" w:themeColor="text1"/>
          <w:spacing w:val="-4"/>
          <w:sz w:val="32"/>
          <w:szCs w:val="32"/>
          <w:u w:val="none"/>
          <w:lang w:val="en-US" w:eastAsia="zh-CN"/>
          <w14:textFill>
            <w14:solidFill>
              <w14:schemeClr w14:val="tx1"/>
            </w14:solidFill>
          </w14:textFill>
        </w:rPr>
        <w:t>极构建办案、监督、管理三位一体的“大管理”格局，优化内部监管，细化“三个管理”具体举措。定期开展业务质效综合分析研判，落实“每案必检”要求，常态化开展案件质量自查、互查和评查。抓实办案流程监控，提升办案效率，平均办案时长始终保持全地区最低水平。</w:t>
      </w:r>
    </w:p>
    <w:p w14:paraId="7CA8049B">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纵深推进从严治检。</w:t>
      </w:r>
      <w:r>
        <w:rPr>
          <w:rFonts w:hint="eastAsia" w:ascii="Times New Roman" w:hAnsi="Times New Roman" w:eastAsia="仿宋_GB2312" w:cs="Times New Roman"/>
          <w:color w:val="auto"/>
          <w:spacing w:val="-4"/>
          <w:sz w:val="32"/>
          <w:szCs w:val="32"/>
          <w:u w:val="none"/>
          <w:lang w:val="en-US" w:eastAsia="zh-CN"/>
        </w:rPr>
        <w:t>紧盯“关键少数”，压紧压实全面从严治党主体责任。紧盯重点环节，加强对不捕不诉、检察侦查、认罪认罚从宽等环节的制约监督。紧盯规范履职，严格落实“三个规定”</w:t>
      </w:r>
      <w:r>
        <w:rPr>
          <w:rFonts w:hint="default" w:ascii="Times New Roman" w:hAnsi="Times New Roman" w:eastAsia="微软雅黑" w:cs="Times New Roman"/>
          <w:color w:val="auto"/>
          <w:spacing w:val="-4"/>
          <w:kern w:val="2"/>
          <w:sz w:val="36"/>
          <w:szCs w:val="36"/>
          <w:u w:val="none"/>
          <w:vertAlign w:val="superscript"/>
          <w:lang w:val="en-US" w:eastAsia="zh-CN" w:bidi="ar-SA"/>
        </w:rPr>
        <w:t>⑧</w:t>
      </w:r>
      <w:r>
        <w:rPr>
          <w:rFonts w:hint="eastAsia" w:ascii="Times New Roman" w:hAnsi="Times New Roman" w:eastAsia="仿宋_GB2312" w:cs="Times New Roman"/>
          <w:color w:val="auto"/>
          <w:spacing w:val="-4"/>
          <w:sz w:val="32"/>
          <w:szCs w:val="32"/>
          <w:u w:val="none"/>
          <w:lang w:val="en-US" w:eastAsia="zh-CN"/>
        </w:rPr>
        <w:t>。紧盯日常行为，深入开展违规吃喝问题专项整治和作风建设提升行动，组织谈心谈话和警示教育，及时通报典型案例，引导检察人员知敬畏、存戒惧、守底线。</w:t>
      </w:r>
    </w:p>
    <w:p w14:paraId="375F0AFF">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主动自觉接受监督。</w:t>
      </w:r>
      <w:r>
        <w:rPr>
          <w:rFonts w:hint="eastAsia" w:ascii="Times New Roman" w:hAnsi="Times New Roman" w:eastAsia="仿宋_GB2312" w:cs="Times New Roman"/>
          <w:color w:val="auto"/>
          <w:spacing w:val="-4"/>
          <w:sz w:val="32"/>
          <w:szCs w:val="32"/>
          <w:u w:val="none"/>
          <w:lang w:val="en-US" w:eastAsia="zh-CN"/>
        </w:rPr>
        <w:t>分别向区人大、区政协专题报告刑事检察和公益诉讼监督工作，有针对性地问计问需问策，认真办结区政协移交线索案件。推进检务公开规范化建设，组织案件听证36次，公开生效法律文书、发布案件程序性信息608件，提供阅卷120人次，邀请省、市、区三级人大代表、政协委员和人民监督员参与公开听证、案件公开审查</w:t>
      </w:r>
      <w:r>
        <w:rPr>
          <w:rFonts w:hint="default" w:ascii="Times New Roman" w:hAnsi="Times New Roman" w:eastAsia="微软雅黑" w:cs="Times New Roman"/>
          <w:color w:val="auto"/>
          <w:spacing w:val="-4"/>
          <w:kern w:val="2"/>
          <w:sz w:val="36"/>
          <w:szCs w:val="36"/>
          <w:u w:val="none"/>
          <w:vertAlign w:val="superscript"/>
          <w:lang w:val="en-US" w:eastAsia="zh-CN" w:bidi="ar-SA"/>
        </w:rPr>
        <w:t>⑨</w:t>
      </w:r>
      <w:r>
        <w:rPr>
          <w:rFonts w:hint="eastAsia" w:ascii="Times New Roman" w:hAnsi="Times New Roman" w:eastAsia="仿宋_GB2312" w:cs="Times New Roman"/>
          <w:color w:val="auto"/>
          <w:spacing w:val="-4"/>
          <w:sz w:val="32"/>
          <w:szCs w:val="32"/>
          <w:u w:val="none"/>
          <w:lang w:val="en-US" w:eastAsia="zh-CN"/>
        </w:rPr>
        <w:t>、检察开放日等活动，努力争取社会各界对检察工作的了解、关注和认可。</w:t>
      </w:r>
    </w:p>
    <w:p w14:paraId="6C587E22">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Times New Roman" w:hAnsi="Times New Roman" w:eastAsia="仿宋_GB2312" w:cs="Times New Roman"/>
          <w:color w:val="auto"/>
          <w:spacing w:val="-4"/>
          <w:sz w:val="32"/>
          <w:szCs w:val="32"/>
          <w:u w:val="none"/>
          <w:lang w:val="en-US" w:eastAsia="zh-CN"/>
        </w:rPr>
        <w:t>各位代表，一年来，振兴检察工作的进步发展，在于习近平新时代中国特色社会主义思想科学指引，也是区委坚强领导、区人大及其常委会有力监督、区政府大力支持、区政协民主监督、区纪委监委和区法院配合与制约，各党政机关、人大代表、政协委员和人民群众支持帮助的结果。在此，我代表振兴区人民检察院表示衷心的感谢和诚挚的敬意！</w:t>
      </w:r>
    </w:p>
    <w:p w14:paraId="1E4B279B">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Times New Roman" w:hAnsi="Times New Roman" w:eastAsia="仿宋_GB2312" w:cs="Times New Roman"/>
          <w:color w:val="auto"/>
          <w:spacing w:val="-4"/>
          <w:sz w:val="32"/>
          <w:szCs w:val="32"/>
          <w:u w:val="none"/>
          <w:lang w:val="en-US" w:eastAsia="zh-CN"/>
        </w:rPr>
        <w:t>我们清醒认识到，检察工作还有不少问题和不足：一是运用习近平法治思想指导检察实践仍需加强，依法履职、规范履职、公正司法需进一步做实。二是融入全区高质量发展的深度不够，主动服务营商环境建设的意识不强，服务质效有待提高。三是队伍整体素能与群众司法需求有差距，业务骨干、领军人物短缺，防范化解风险能力不足。四是司法责任制落实还有薄弱环节，需持续强化完善。这些问题，我们将认真研究，努力解决。</w:t>
      </w:r>
    </w:p>
    <w:p w14:paraId="25EAA12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黑体" w:hAnsi="黑体" w:eastAsia="黑体" w:cs="黑体"/>
          <w:color w:val="auto"/>
          <w:spacing w:val="-4"/>
          <w:sz w:val="32"/>
          <w:szCs w:val="32"/>
          <w:u w:val="none"/>
          <w:lang w:val="en-US" w:eastAsia="zh-CN"/>
        </w:rPr>
      </w:pPr>
      <w:r>
        <w:rPr>
          <w:rFonts w:hint="default" w:ascii="Times New Roman" w:hAnsi="Times New Roman" w:eastAsia="黑体" w:cs="Times New Roman"/>
          <w:color w:val="auto"/>
          <w:spacing w:val="-4"/>
          <w:sz w:val="32"/>
          <w:szCs w:val="32"/>
          <w:u w:val="none"/>
          <w:lang w:val="en-US" w:eastAsia="zh-CN"/>
        </w:rPr>
        <w:t>2026</w:t>
      </w:r>
      <w:r>
        <w:rPr>
          <w:rFonts w:hint="default" w:ascii="黑体" w:hAnsi="黑体" w:eastAsia="黑体" w:cs="黑体"/>
          <w:color w:val="auto"/>
          <w:spacing w:val="-4"/>
          <w:sz w:val="32"/>
          <w:szCs w:val="32"/>
          <w:u w:val="none"/>
          <w:lang w:val="en-US" w:eastAsia="zh-CN"/>
        </w:rPr>
        <w:t>年工作</w:t>
      </w:r>
      <w:r>
        <w:rPr>
          <w:rFonts w:hint="eastAsia" w:ascii="黑体" w:hAnsi="黑体" w:eastAsia="黑体" w:cs="黑体"/>
          <w:color w:val="auto"/>
          <w:spacing w:val="-4"/>
          <w:sz w:val="32"/>
          <w:szCs w:val="32"/>
          <w:u w:val="none"/>
          <w:lang w:val="en-US" w:eastAsia="zh-CN"/>
        </w:rPr>
        <w:t>安排</w:t>
      </w:r>
    </w:p>
    <w:p w14:paraId="360E5D68">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default" w:ascii="Times New Roman" w:hAnsi="Times New Roman" w:eastAsia="仿宋_GB2312" w:cs="Times New Roman"/>
          <w:color w:val="auto"/>
          <w:spacing w:val="-4"/>
          <w:sz w:val="32"/>
          <w:szCs w:val="32"/>
          <w:u w:val="none"/>
          <w:lang w:val="en-US" w:eastAsia="zh-CN"/>
        </w:rPr>
      </w:pPr>
      <w:r>
        <w:rPr>
          <w:rFonts w:hint="eastAsia" w:ascii="Times New Roman" w:hAnsi="Times New Roman" w:eastAsia="仿宋_GB2312" w:cs="Times New Roman"/>
          <w:color w:val="auto"/>
          <w:spacing w:val="-4"/>
          <w:sz w:val="32"/>
          <w:szCs w:val="32"/>
          <w:u w:val="none"/>
          <w:lang w:val="en-US" w:eastAsia="zh-CN"/>
        </w:rPr>
        <w:t>2026年是</w:t>
      </w:r>
      <w:r>
        <w:rPr>
          <w:rFonts w:hint="default" w:ascii="Times New Roman" w:hAnsi="Times New Roman" w:eastAsia="仿宋_GB2312" w:cs="Times New Roman"/>
          <w:color w:val="auto"/>
          <w:spacing w:val="-4"/>
          <w:sz w:val="32"/>
          <w:szCs w:val="32"/>
          <w:u w:val="none"/>
          <w:lang w:val="en-US" w:eastAsia="zh-CN"/>
        </w:rPr>
        <w:t>“十五五”</w:t>
      </w:r>
      <w:r>
        <w:rPr>
          <w:rFonts w:hint="eastAsia" w:ascii="Times New Roman" w:hAnsi="Times New Roman" w:eastAsia="仿宋_GB2312" w:cs="Times New Roman"/>
          <w:color w:val="auto"/>
          <w:spacing w:val="-4"/>
          <w:sz w:val="32"/>
          <w:szCs w:val="32"/>
          <w:u w:val="none"/>
          <w:lang w:val="en-US" w:eastAsia="zh-CN"/>
        </w:rPr>
        <w:t>规划</w:t>
      </w:r>
      <w:r>
        <w:rPr>
          <w:rFonts w:hint="default" w:ascii="Times New Roman" w:hAnsi="Times New Roman" w:eastAsia="仿宋_GB2312" w:cs="Times New Roman"/>
          <w:color w:val="auto"/>
          <w:spacing w:val="-4"/>
          <w:sz w:val="32"/>
          <w:szCs w:val="32"/>
          <w:u w:val="none"/>
          <w:lang w:val="en-US" w:eastAsia="zh-CN"/>
        </w:rPr>
        <w:t>开局之年，也是迈向高质量发展的关键阶段</w:t>
      </w:r>
      <w:r>
        <w:rPr>
          <w:rFonts w:hint="eastAsia" w:ascii="Times New Roman" w:hAnsi="Times New Roman" w:eastAsia="仿宋_GB2312" w:cs="Times New Roman"/>
          <w:color w:val="auto"/>
          <w:spacing w:val="-4"/>
          <w:sz w:val="32"/>
          <w:szCs w:val="32"/>
          <w:u w:val="none"/>
          <w:lang w:val="en-US" w:eastAsia="zh-CN"/>
        </w:rPr>
        <w:t>。区检察院将坚持以习近平新时代中国特色社会主义思想为指导，认真落实党的二十届四中全会关于“强化检察监督”等要求，在了解大局中找准检察定位、在融入大局中发挥检察职能、在服务大局中推动检察工作，努力让党委、政府放心，人民群众满意，以更优检察实绩更好服务高质量发展。</w:t>
      </w:r>
    </w:p>
    <w:p w14:paraId="68C016CC">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一是旗帜鲜明强化党的政治建设。</w:t>
      </w:r>
      <w:r>
        <w:rPr>
          <w:rFonts w:hint="eastAsia" w:ascii="Times New Roman" w:hAnsi="Times New Roman" w:eastAsia="仿宋_GB2312" w:cs="Times New Roman"/>
          <w:color w:val="auto"/>
          <w:spacing w:val="-4"/>
          <w:sz w:val="32"/>
          <w:szCs w:val="32"/>
          <w:u w:val="none"/>
          <w:lang w:val="en-US" w:eastAsia="zh-CN"/>
        </w:rPr>
        <w:t>巩固拓展主题教育成果，健全学思践悟习近平法治思想常态化机制。坚持讲政治与讲法治有机统一，把执行区委工作部署与执行国家法律统一起来，自觉把讲政治的要求落实到履职办案全过程各方面，铸牢政治忠诚。</w:t>
      </w:r>
    </w:p>
    <w:p w14:paraId="62E318A5">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二是全力以赴服务保障中心大局。</w:t>
      </w:r>
      <w:r>
        <w:rPr>
          <w:rFonts w:hint="eastAsia" w:ascii="Times New Roman" w:hAnsi="Times New Roman" w:eastAsia="仿宋_GB2312" w:cs="Times New Roman"/>
          <w:color w:val="auto"/>
          <w:spacing w:val="-4"/>
          <w:sz w:val="32"/>
          <w:szCs w:val="32"/>
          <w:u w:val="none"/>
          <w:lang w:val="en-US" w:eastAsia="zh-CN"/>
        </w:rPr>
        <w:t>紧扣“全市营商环境提升年”工作要求，统筹发展和安全，依法惩治各类犯罪，更加精准服务发展稳定。紧盯重点领域聚焦特殊群体解决突出问题，持续深化“检护民生”专项行动</w:t>
      </w:r>
      <w:r>
        <w:rPr>
          <w:rFonts w:hint="default" w:ascii="Times New Roman" w:hAnsi="Times New Roman" w:eastAsia="微软雅黑" w:cs="Times New Roman"/>
          <w:color w:val="auto"/>
          <w:spacing w:val="-4"/>
          <w:kern w:val="2"/>
          <w:sz w:val="36"/>
          <w:szCs w:val="36"/>
          <w:u w:val="none"/>
          <w:vertAlign w:val="superscript"/>
          <w:lang w:val="en-US" w:eastAsia="zh-CN" w:bidi="ar-SA"/>
        </w:rPr>
        <w:t>⑩</w:t>
      </w:r>
      <w:r>
        <w:rPr>
          <w:rFonts w:hint="eastAsia" w:ascii="Times New Roman" w:hAnsi="Times New Roman" w:eastAsia="仿宋_GB2312" w:cs="Times New Roman"/>
          <w:color w:val="auto"/>
          <w:spacing w:val="-4"/>
          <w:sz w:val="32"/>
          <w:szCs w:val="32"/>
          <w:u w:val="none"/>
          <w:lang w:val="en-US" w:eastAsia="zh-CN"/>
        </w:rPr>
        <w:t>，进一步提升法治化营商环境建设水平。</w:t>
      </w:r>
    </w:p>
    <w:p w14:paraId="478BFAAB">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三是持之以恒提升法律监督质效。</w:t>
      </w:r>
      <w:r>
        <w:rPr>
          <w:rFonts w:hint="eastAsia" w:ascii="Times New Roman" w:hAnsi="Times New Roman" w:eastAsia="仿宋_GB2312" w:cs="Times New Roman"/>
          <w:color w:val="auto"/>
          <w:spacing w:val="-4"/>
          <w:sz w:val="32"/>
          <w:szCs w:val="32"/>
          <w:u w:val="none"/>
          <w:lang w:val="en-US" w:eastAsia="zh-CN"/>
        </w:rPr>
        <w:t xml:space="preserve">积极构建检察“大管理”格局，一体抓实检察“三个管理”。强化刑事侦查活动和审判活动监督，精准开展民事诉讼监督，推进行政违法行为监督，自觉融入检察公益诉讼立法进程，高质效办好每一个案件。落实和完善司法责任制，强化检察权运行制约监督，努力让人民群众在每一个司法案件中感受到公平正义。 </w:t>
      </w:r>
    </w:p>
    <w:p w14:paraId="21B30563">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楷体" w:hAnsi="楷体" w:eastAsia="楷体" w:cs="楷体"/>
          <w:color w:val="auto"/>
          <w:spacing w:val="-4"/>
          <w:sz w:val="32"/>
          <w:szCs w:val="32"/>
          <w:u w:val="none"/>
          <w:lang w:val="en-US" w:eastAsia="zh-CN"/>
        </w:rPr>
        <w:t>四是对标一流锻造新时代检察铁军。</w:t>
      </w:r>
      <w:r>
        <w:rPr>
          <w:rFonts w:hint="eastAsia" w:ascii="Times New Roman" w:hAnsi="Times New Roman" w:eastAsia="仿宋_GB2312" w:cs="Times New Roman"/>
          <w:color w:val="auto"/>
          <w:spacing w:val="-4"/>
          <w:sz w:val="32"/>
          <w:szCs w:val="32"/>
          <w:u w:val="none"/>
          <w:lang w:val="en-US" w:eastAsia="zh-CN"/>
        </w:rPr>
        <w:t>贯彻落实《中国共产党思想政治工作条例》，大力弘扬新时代检察精神，建立健全正向激励机制，以正确的政绩观引领干事创业导向。深化全面从严治检，严格遵守《中国共产党纪律处分条例》，认真落实中央八项规定及其实施细则精神，促进政治能力、业务素能和职业道德建设显著提升。</w:t>
      </w:r>
    </w:p>
    <w:p w14:paraId="0996AE97">
      <w:pPr>
        <w:keepNext w:val="0"/>
        <w:keepLines w:val="0"/>
        <w:pageBreakBefore w:val="0"/>
        <w:kinsoku/>
        <w:wordWrap/>
        <w:overflowPunct/>
        <w:topLinePunct w:val="0"/>
        <w:autoSpaceDE/>
        <w:autoSpaceDN/>
        <w:bidi w:val="0"/>
        <w:adjustRightInd/>
        <w:snapToGrid/>
        <w:spacing w:line="560" w:lineRule="exact"/>
        <w:ind w:firstLine="624" w:firstLineChars="200"/>
        <w:jc w:val="both"/>
        <w:textAlignment w:val="auto"/>
        <w:rPr>
          <w:rFonts w:hint="eastAsia" w:ascii="Times New Roman" w:hAnsi="Times New Roman" w:eastAsia="仿宋_GB2312" w:cs="Times New Roman"/>
          <w:color w:val="auto"/>
          <w:spacing w:val="-4"/>
          <w:sz w:val="32"/>
          <w:szCs w:val="32"/>
          <w:u w:val="none"/>
          <w:lang w:val="en-US" w:eastAsia="zh-CN"/>
        </w:rPr>
      </w:pPr>
      <w:r>
        <w:rPr>
          <w:rFonts w:hint="eastAsia" w:ascii="Times New Roman" w:hAnsi="Times New Roman" w:eastAsia="仿宋_GB2312" w:cs="Times New Roman"/>
          <w:color w:val="auto"/>
          <w:spacing w:val="-4"/>
          <w:sz w:val="32"/>
          <w:szCs w:val="32"/>
          <w:u w:val="none"/>
          <w:lang w:val="en-US" w:eastAsia="zh-CN"/>
        </w:rPr>
        <w:t>各位代表，新的一年，区检察院将坚决落实区委决策部署和本次会议要求，更加自觉接受人大监督、民主监督和社会监督，挺膺担当、履职尽责，努力为全区“十五五”开好头、起好步贡献全部检察力量。</w:t>
      </w:r>
    </w:p>
    <w:p w14:paraId="46AF0E79">
      <w:pPr>
        <w:pStyle w:val="8"/>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color w:val="auto"/>
          <w:spacing w:val="-4"/>
          <w:sz w:val="32"/>
          <w:szCs w:val="32"/>
          <w:u w:val="none"/>
          <w:lang w:val="en-US" w:eastAsia="zh-CN"/>
        </w:rPr>
      </w:pPr>
    </w:p>
    <w:p w14:paraId="51EF26AA">
      <w:pPr>
        <w:pStyle w:val="8"/>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color w:val="auto"/>
          <w:spacing w:val="-4"/>
          <w:sz w:val="32"/>
          <w:szCs w:val="32"/>
          <w:u w:val="none"/>
          <w:lang w:val="en-US" w:eastAsia="zh-CN"/>
        </w:rPr>
      </w:pPr>
    </w:p>
    <w:p w14:paraId="063F30A6">
      <w:pPr>
        <w:pStyle w:val="8"/>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color w:val="auto"/>
          <w:spacing w:val="-4"/>
          <w:sz w:val="32"/>
          <w:szCs w:val="32"/>
          <w:u w:val="none"/>
          <w:lang w:val="en-US" w:eastAsia="zh-CN"/>
        </w:rPr>
      </w:pPr>
    </w:p>
    <w:p w14:paraId="4D8A264C">
      <w:pPr>
        <w:pStyle w:val="8"/>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color w:val="auto"/>
          <w:spacing w:val="-4"/>
          <w:sz w:val="32"/>
          <w:szCs w:val="32"/>
          <w:u w:val="none"/>
          <w:lang w:val="en-US" w:eastAsia="zh-CN"/>
        </w:rPr>
      </w:pPr>
    </w:p>
    <w:p w14:paraId="2C582BFB">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黑体" w:hAnsi="黑体" w:eastAsia="黑体" w:cs="Times New Roman"/>
          <w:spacing w:val="-4"/>
          <w:kern w:val="2"/>
          <w:sz w:val="28"/>
          <w:szCs w:val="28"/>
        </w:rPr>
      </w:pPr>
      <w:r>
        <w:rPr>
          <w:rFonts w:ascii="黑体" w:hAnsi="黑体" w:eastAsia="黑体" w:cs="Times New Roman"/>
          <w:spacing w:val="-4"/>
          <w:kern w:val="2"/>
          <w:sz w:val="28"/>
          <w:szCs w:val="28"/>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467995</wp:posOffset>
                </wp:positionV>
                <wp:extent cx="1809750" cy="0"/>
                <wp:effectExtent l="0" t="4445" r="0" b="5080"/>
                <wp:wrapNone/>
                <wp:docPr id="2" name="直接箭头连接符 2"/>
                <wp:cNvGraphicFramePr/>
                <a:graphic xmlns:a="http://schemas.openxmlformats.org/drawingml/2006/main">
                  <a:graphicData uri="http://schemas.microsoft.com/office/word/2010/wordprocessingShape">
                    <wps:wsp>
                      <wps:cNvCnPr/>
                      <wps:spPr>
                        <a:xfrm>
                          <a:off x="0" y="0"/>
                          <a:ext cx="18097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15pt;margin-top:36.85pt;height:0pt;width:142.5pt;z-index:251659264;mso-width-relative:page;mso-height-relative:page;" filled="f" stroked="t" coordsize="21600,21600" o:gfxdata="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Qa7QdcAAAAIAQAADwAAAAAAAAABACAAAAAiAAAAZHJzL2Rv&#10;d25yZXYueG1sUEsBAhQAFAAAAAgAh07iQNcXgywCAgAA+gMAAA4AAAAAAAAAAQAgAAAAJgEAAGRy&#10;cy9lMm9Eb2MueG1sUEsFBgAAAAAGAAYAWQEAAJoFAAAAAA==&#10;">
                <v:fill on="f" focussize="0,0"/>
                <v:stroke color="#000000" joinstyle="round"/>
                <v:imagedata o:title=""/>
                <o:lock v:ext="edit" aspectratio="f"/>
              </v:shape>
            </w:pict>
          </mc:Fallback>
        </mc:AlternateContent>
      </w:r>
      <w:r>
        <w:rPr>
          <w:rFonts w:hint="eastAsia" w:ascii="黑体" w:hAnsi="黑体" w:eastAsia="黑体" w:cs="Times New Roman"/>
          <w:spacing w:val="-4"/>
          <w:kern w:val="2"/>
          <w:sz w:val="28"/>
          <w:szCs w:val="28"/>
        </w:rPr>
        <w:t>注释说明：</w:t>
      </w:r>
    </w:p>
    <w:p w14:paraId="56BECB0A">
      <w:pPr>
        <w:pStyle w:val="9"/>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theme="minorBidi"/>
          <w:color w:val="auto"/>
          <w:kern w:val="2"/>
          <w:sz w:val="28"/>
          <w:szCs w:val="28"/>
          <w:u w:val="none"/>
        </w:rPr>
      </w:pPr>
    </w:p>
    <w:p w14:paraId="2AF21E3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4"/>
          <w:kern w:val="2"/>
          <w:sz w:val="28"/>
          <w:szCs w:val="28"/>
          <w:u w:val="none"/>
          <w:lang w:val="en-US" w:eastAsia="zh-CN" w:bidi="ar-SA"/>
        </w:rPr>
      </w:pPr>
      <w:r>
        <w:rPr>
          <w:rFonts w:hint="default" w:ascii="Times New Roman" w:hAnsi="Times New Roman" w:eastAsia="微软雅黑" w:cs="Times New Roman"/>
          <w:color w:val="auto"/>
          <w:spacing w:val="-4"/>
          <w:kern w:val="2"/>
          <w:sz w:val="28"/>
          <w:szCs w:val="28"/>
          <w:u w:val="none"/>
          <w:lang w:val="en-US" w:eastAsia="zh-CN" w:bidi="ar-SA"/>
        </w:rPr>
        <w:t>①</w:t>
      </w:r>
      <w:r>
        <w:rPr>
          <w:rFonts w:hint="eastAsia" w:ascii="黑体" w:hAnsi="黑体" w:eastAsia="黑体" w:cs="黑体"/>
          <w:sz w:val="28"/>
          <w:szCs w:val="28"/>
          <w:lang w:val="en-US" w:eastAsia="zh-CN"/>
        </w:rPr>
        <w:t>【宽严相济刑事政策】</w:t>
      </w:r>
      <w:r>
        <w:rPr>
          <w:rFonts w:hint="eastAsia" w:ascii="Times New Roman" w:hAnsi="Times New Roman" w:eastAsia="仿宋_GB2312" w:cs="Times New Roman"/>
          <w:color w:val="auto"/>
          <w:spacing w:val="-4"/>
          <w:kern w:val="2"/>
          <w:sz w:val="28"/>
          <w:szCs w:val="28"/>
          <w:u w:val="none"/>
          <w:lang w:val="en-US" w:eastAsia="zh-CN" w:bidi="ar-SA"/>
        </w:rPr>
        <w:t>根据《中华人民共和国刑法》第五条罪责刑相适应原则、《中华人民共和国刑事诉讼法》第十五条认罪认罚从宽制度及第二百九十条刑事和解从宽规定，结合最高法《关于贯彻宽严相济刑事政策的若干意见》、最高检《关于在检察工作中贯彻宽严相济刑事司法政策的若干意见》及“两高三部”《关于适用认罪认罚从宽制度的指导意见》等文件，确立了我国“该宽则宽、当严则严、宽严相济、罚当其罪”的基本刑事政策，核心是对重罪及恶性大、危害重的犯罪从严追诉，对轻罪、初犯偶犯及认罪认罚、达成刑事和解的依法从宽；坚持宽严互补有度，以法律为界精准裁量，实现惩治犯罪与保障人权、法律效果与社会效果统一。</w:t>
      </w:r>
    </w:p>
    <w:p w14:paraId="5D1B4D0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default" w:ascii="Times New Roman" w:hAnsi="Times New Roman" w:eastAsia="微软雅黑" w:cs="Times New Roman"/>
          <w:color w:val="auto"/>
          <w:spacing w:val="-4"/>
          <w:kern w:val="2"/>
          <w:sz w:val="28"/>
          <w:szCs w:val="28"/>
          <w:u w:val="none"/>
          <w:lang w:val="en-US" w:eastAsia="zh-CN" w:bidi="ar-SA"/>
        </w:rPr>
        <w:t>②</w:t>
      </w:r>
      <w:r>
        <w:rPr>
          <w:rFonts w:hint="eastAsia" w:ascii="黑体" w:hAnsi="黑体" w:eastAsia="黑体" w:cs="黑体"/>
          <w:sz w:val="28"/>
          <w:szCs w:val="28"/>
          <w:lang w:val="en-US" w:eastAsia="zh-CN"/>
        </w:rPr>
        <w:t>【认罪认罚从宽制度】</w:t>
      </w:r>
      <w:r>
        <w:rPr>
          <w:rFonts w:hint="eastAsia" w:ascii="仿宋_GB2312" w:hAnsi="仿宋_GB2312" w:eastAsia="仿宋_GB2312" w:cs="仿宋_GB2312"/>
          <w:sz w:val="28"/>
          <w:szCs w:val="28"/>
          <w:lang w:val="en-US" w:eastAsia="zh-CN"/>
        </w:rPr>
        <w:t>根据《刑事诉讼法》第十五条核心规定，结合“两高三部”《关于适用认罪认罚从宽制度的指导意见》，确立我国认罪认罚从宽制度。该制度贯穿刑事诉讼全过程，无罪名和刑罚限定，核心是犯罪嫌疑人、被告人认罪认罚即可获得实体从宽及程序从简待遇。对重罪及主观恶性极大者，慎重把握从宽。办案坚持证据裁判、罪责刑相适应原则，保障当事人权利，实现惩治犯罪与保障人权、提升司法效率与化解社会矛盾统一。</w:t>
      </w:r>
    </w:p>
    <w:p w14:paraId="4F6F2076">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default" w:ascii="Times New Roman" w:hAnsi="Times New Roman" w:eastAsia="微软雅黑" w:cs="Times New Roman"/>
          <w:color w:val="auto"/>
          <w:spacing w:val="-4"/>
          <w:kern w:val="2"/>
          <w:sz w:val="28"/>
          <w:szCs w:val="28"/>
          <w:u w:val="none"/>
          <w:lang w:val="en-US" w:eastAsia="zh-CN" w:bidi="ar-SA"/>
        </w:rPr>
        <w:t>③</w:t>
      </w:r>
      <w:r>
        <w:rPr>
          <w:rFonts w:hint="eastAsia" w:ascii="黑体" w:hAnsi="黑体" w:eastAsia="黑体" w:cs="黑体"/>
          <w:sz w:val="28"/>
          <w:szCs w:val="28"/>
          <w:lang w:val="en-US" w:eastAsia="zh-CN"/>
        </w:rPr>
        <w:t>【行刑反向衔接】</w:t>
      </w:r>
      <w:r>
        <w:rPr>
          <w:rFonts w:hint="eastAsia" w:ascii="仿宋_GB2312" w:hAnsi="仿宋_GB2312" w:eastAsia="仿宋_GB2312" w:cs="仿宋_GB2312"/>
          <w:sz w:val="28"/>
          <w:szCs w:val="28"/>
          <w:lang w:val="en-US" w:eastAsia="zh-CN"/>
        </w:rPr>
        <w:t>行政执法和刑事司法衔接也称“两法衔接”，包括行政执法机关向司法机关移送涉嫌犯罪案件的正向衔接和司法机关向行政执法机关移送行政处罚案件的反向衔接。行刑反向衔接是指人民检察院对决定不起诉的案件，经审查认为需要给予被不起诉人行政处罚的，及时提出检察意见，移送有关行政主管机关，并对案件处理情况进行跟踪督促。</w:t>
      </w:r>
    </w:p>
    <w:p w14:paraId="799A43B7">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default" w:ascii="Times New Roman" w:hAnsi="Times New Roman" w:eastAsia="微软雅黑" w:cs="Times New Roman"/>
          <w:color w:val="auto"/>
          <w:spacing w:val="-4"/>
          <w:kern w:val="2"/>
          <w:sz w:val="28"/>
          <w:szCs w:val="28"/>
          <w:u w:val="none"/>
          <w:lang w:val="en-US" w:eastAsia="zh-CN" w:bidi="ar-SA"/>
        </w:rPr>
        <w:t>④</w:t>
      </w:r>
      <w:r>
        <w:rPr>
          <w:rFonts w:hint="eastAsia" w:ascii="黑体" w:hAnsi="黑体" w:eastAsia="黑体" w:cs="黑体"/>
          <w:sz w:val="28"/>
          <w:szCs w:val="28"/>
          <w:lang w:val="en-US" w:eastAsia="zh-CN"/>
        </w:rPr>
        <w:t>【行政公益诉讼检察建议】</w:t>
      </w:r>
      <w:r>
        <w:rPr>
          <w:rFonts w:hint="eastAsia" w:ascii="仿宋_GB2312" w:hAnsi="仿宋_GB2312" w:eastAsia="仿宋_GB2312" w:cs="仿宋_GB2312"/>
          <w:sz w:val="28"/>
          <w:szCs w:val="28"/>
          <w:lang w:val="en-US" w:eastAsia="zh-CN"/>
        </w:rPr>
        <w:t>是指人民检察院在履行法律监督职责过程中，发现行政机关在生态环境和资源保护、食品药品安全、国有财产保护、国有土地使用权出让等领域存在违法行使职权或不作为，致使国家利益或社会公共利益受到侵害或有重大侵害危险时，在提起行政公益诉讼前，依法向相关行政机关提出的、要求其纠正违法行为或依法履行职责的正式法律文书。</w:t>
      </w:r>
    </w:p>
    <w:p w14:paraId="442BCAC0">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4"/>
          <w:kern w:val="2"/>
          <w:sz w:val="28"/>
          <w:szCs w:val="28"/>
          <w:u w:val="none"/>
          <w:lang w:val="en-US" w:eastAsia="zh-CN" w:bidi="ar-SA"/>
        </w:rPr>
      </w:pPr>
      <w:r>
        <w:rPr>
          <w:rFonts w:hint="default" w:ascii="Times New Roman" w:hAnsi="Times New Roman" w:eastAsia="微软雅黑" w:cs="Times New Roman"/>
          <w:color w:val="auto"/>
          <w:spacing w:val="-4"/>
          <w:kern w:val="2"/>
          <w:sz w:val="28"/>
          <w:szCs w:val="28"/>
          <w:u w:val="none"/>
          <w:lang w:val="en-US" w:eastAsia="zh-CN" w:bidi="ar-SA"/>
        </w:rPr>
        <w:t>⑤</w:t>
      </w:r>
      <w:r>
        <w:rPr>
          <w:rFonts w:hint="eastAsia" w:ascii="黑体" w:hAnsi="黑体" w:eastAsia="黑体" w:cs="黑体"/>
          <w:sz w:val="28"/>
          <w:szCs w:val="28"/>
          <w:lang w:val="en-US" w:eastAsia="zh-CN"/>
        </w:rPr>
        <w:t>【机动侦查权】</w:t>
      </w:r>
      <w:r>
        <w:rPr>
          <w:rFonts w:hint="eastAsia" w:ascii="Times New Roman" w:hAnsi="Times New Roman" w:eastAsia="仿宋_GB2312" w:cs="Times New Roman"/>
          <w:color w:val="auto"/>
          <w:spacing w:val="-4"/>
          <w:kern w:val="2"/>
          <w:sz w:val="28"/>
          <w:szCs w:val="28"/>
          <w:u w:val="none"/>
          <w:lang w:val="en-US" w:eastAsia="zh-CN" w:bidi="ar-SA"/>
        </w:rPr>
        <w:t>我国现行刑事诉讼法第十九条第2款规定，“对于公安机关管辖的国家机关工作人员利用职权实施的重大犯罪案件，需要由人民检察院直接受理的时候，</w:t>
      </w:r>
      <w:r>
        <w:rPr>
          <w:rFonts w:hint="default" w:ascii="Times New Roman" w:hAnsi="Times New Roman" w:eastAsia="仿宋_GB2312" w:cs="Times New Roman"/>
          <w:color w:val="auto"/>
          <w:spacing w:val="-4"/>
          <w:kern w:val="2"/>
          <w:sz w:val="28"/>
          <w:szCs w:val="28"/>
          <w:u w:val="none"/>
          <w:lang w:val="en-US" w:eastAsia="zh-CN" w:bidi="ar-SA"/>
        </w:rPr>
        <w:t>经省级以上人民检察院决定，可以由人民检察院立案侦查。</w:t>
      </w:r>
      <w:r>
        <w:rPr>
          <w:rFonts w:hint="eastAsia" w:ascii="Times New Roman" w:hAnsi="Times New Roman" w:eastAsia="仿宋_GB2312" w:cs="Times New Roman"/>
          <w:color w:val="auto"/>
          <w:spacing w:val="-4"/>
          <w:kern w:val="2"/>
          <w:sz w:val="28"/>
          <w:szCs w:val="28"/>
          <w:u w:val="none"/>
          <w:lang w:val="en-US" w:eastAsia="zh-CN" w:bidi="ar-SA"/>
        </w:rPr>
        <w:t>”理论和实务界将法律的这一授权称为检察机关的“机动侦查权”。“机动侦查权”是检察机关对国家工作人员利用职权实施的重大犯罪进行的法律监督，属于检察机关法律监督职权之一，对“四大检察”的权威性和刚性有着内生性支撑作用。“机动侦查权”是附严格法定条件的、有限的检察侦查职能，只有出现需要由检察机关直接受理的特殊情形或理由时，经省级以上检察院决定，才可以依法转化为由检察机关启动立案侦查程序。</w:t>
      </w:r>
    </w:p>
    <w:p w14:paraId="4AF6981D">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default" w:ascii="Times New Roman" w:hAnsi="Times New Roman" w:eastAsia="微软雅黑" w:cs="Times New Roman"/>
          <w:color w:val="auto"/>
          <w:spacing w:val="-4"/>
          <w:kern w:val="2"/>
          <w:sz w:val="28"/>
          <w:szCs w:val="28"/>
          <w:u w:val="none"/>
          <w:lang w:val="en-US" w:eastAsia="zh-CN" w:bidi="ar-SA"/>
        </w:rPr>
        <w:t>⑥</w:t>
      </w:r>
      <w:r>
        <w:rPr>
          <w:rFonts w:hint="eastAsia" w:ascii="黑体" w:hAnsi="黑体" w:eastAsia="黑体" w:cs="黑体"/>
          <w:sz w:val="28"/>
          <w:szCs w:val="28"/>
          <w:lang w:val="en-US" w:eastAsia="zh-CN"/>
        </w:rPr>
        <w:t>【违规异地执法和趋利性执法司法专项监督】</w:t>
      </w:r>
      <w:r>
        <w:rPr>
          <w:rFonts w:hint="eastAsia" w:ascii="仿宋_GB2312" w:hAnsi="仿宋_GB2312" w:eastAsia="仿宋_GB2312" w:cs="仿宋_GB2312"/>
          <w:sz w:val="28"/>
          <w:szCs w:val="28"/>
          <w:lang w:val="en-US" w:eastAsia="zh-CN"/>
        </w:rPr>
        <w:t>根据《中华人民共和国刑事诉讼法》第八条、《中华人民共和国人民检察院组织法》第二十一条相关规定，结合最高人民检察院相关工作方案及意见，确立了违规异地执法和趋利性执法司法专项监督工作机制。该专项监督是检察机关服务法治化营商环境的重点任务，核心是聚焦违规异地执法、趋利性执法司法突出问题，运用“四大检察”职能强化监督，纠正涉企违法办案、“挂案”等问题。坚持依法监督，加强跨机关协作，平等保护市场主体权益，规范执法司法权运行，实现法律效果与社会效果统一。</w:t>
      </w:r>
    </w:p>
    <w:p w14:paraId="65DB9569">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default" w:ascii="Times New Roman" w:hAnsi="Times New Roman" w:eastAsia="微软雅黑" w:cs="Times New Roman"/>
          <w:sz w:val="28"/>
          <w:szCs w:val="28"/>
          <w:lang w:val="en-US" w:eastAsia="zh-CN"/>
        </w:rPr>
        <w:t>⑦</w:t>
      </w:r>
      <w:r>
        <w:rPr>
          <w:rFonts w:hint="eastAsia" w:ascii="黑体" w:hAnsi="黑体" w:eastAsia="黑体" w:cs="黑体"/>
          <w:sz w:val="28"/>
          <w:szCs w:val="28"/>
          <w:lang w:val="en-US" w:eastAsia="zh-CN"/>
        </w:rPr>
        <w:t>【“三个管理”】</w:t>
      </w:r>
      <w:r>
        <w:rPr>
          <w:rFonts w:hint="eastAsia" w:ascii="Times New Roman" w:hAnsi="Times New Roman" w:eastAsia="仿宋_GB2312" w:cs="Times New Roman"/>
          <w:color w:val="auto"/>
          <w:spacing w:val="-4"/>
          <w:kern w:val="2"/>
          <w:sz w:val="28"/>
          <w:szCs w:val="28"/>
          <w:u w:val="none"/>
          <w:lang w:val="en-US" w:eastAsia="zh-CN" w:bidi="ar-SA"/>
        </w:rPr>
        <w:t>2024年10月，最高人民检察院决定：取消一切对各级检察机关特别是基层检察机关的不必要、不恰当、不合</w:t>
      </w:r>
      <w:r>
        <w:rPr>
          <w:rFonts w:hint="eastAsia" w:ascii="仿宋_GB2312" w:hAnsi="仿宋_GB2312" w:eastAsia="仿宋_GB2312" w:cs="仿宋_GB2312"/>
          <w:sz w:val="28"/>
          <w:szCs w:val="28"/>
          <w:lang w:val="en-US" w:eastAsia="zh-CN"/>
        </w:rPr>
        <w:t>格考核，不再执行检察业务评价指标体系，不再设置各类通报值等评价指标，不再对各地业务数据进行排名通报，切实、真正把检察管理从简单的数据管理调整到更加注重业务管理、案件管理、质量管理上来，更加注重对重点案件类型、重点办案领域、重要业务态势的分析研判上来，更加注重落实和完善司法责任制。</w:t>
      </w:r>
    </w:p>
    <w:p w14:paraId="699EBB83">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default" w:ascii="Times New Roman" w:hAnsi="Times New Roman" w:eastAsia="微软雅黑" w:cs="Times New Roman"/>
          <w:color w:val="auto"/>
          <w:spacing w:val="-4"/>
          <w:kern w:val="2"/>
          <w:sz w:val="28"/>
          <w:szCs w:val="28"/>
          <w:u w:val="none"/>
          <w:lang w:val="en-US" w:eastAsia="zh-CN" w:bidi="ar-SA"/>
        </w:rPr>
        <w:t>⑧</w:t>
      </w:r>
      <w:r>
        <w:rPr>
          <w:rFonts w:hint="eastAsia" w:ascii="黑体" w:hAnsi="黑体" w:eastAsia="黑体" w:cs="黑体"/>
          <w:sz w:val="28"/>
          <w:szCs w:val="28"/>
          <w:lang w:val="en-US" w:eastAsia="zh-CN"/>
        </w:rPr>
        <w:t>【“三个规定”】</w:t>
      </w:r>
      <w:r>
        <w:rPr>
          <w:rFonts w:hint="eastAsia" w:ascii="仿宋_GB2312" w:hAnsi="仿宋_GB2312" w:eastAsia="仿宋_GB2312" w:cs="仿宋_GB2312"/>
          <w:sz w:val="28"/>
          <w:szCs w:val="28"/>
          <w:lang w:val="en-US" w:eastAsia="zh-CN"/>
        </w:rPr>
        <w:t>是指中办国办、中央政法委、“两高三部”（最高法、最高检、公安部、国安部和司法部）分别先后印发的《领导干部干预司法活动、插手具体案件处理的记录、通报和责任追究规定》《司法机关内部人员过问案件的记录和责任追究规定》《关于进一步规范司法人员与当事人、律师、特殊关系人、中介组织接触交往行为的若干规定》。</w:t>
      </w:r>
    </w:p>
    <w:p w14:paraId="65ACBC5A">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r>
        <w:rPr>
          <w:rFonts w:hint="default" w:ascii="Times New Roman" w:hAnsi="Times New Roman" w:eastAsia="微软雅黑" w:cs="Times New Roman"/>
          <w:color w:val="auto"/>
          <w:spacing w:val="-4"/>
          <w:kern w:val="2"/>
          <w:sz w:val="28"/>
          <w:szCs w:val="28"/>
          <w:u w:val="none"/>
          <w:lang w:val="en-US" w:eastAsia="zh-CN" w:bidi="ar-SA"/>
        </w:rPr>
        <w:t>⑨</w:t>
      </w:r>
      <w:r>
        <w:rPr>
          <w:rFonts w:hint="eastAsia" w:ascii="黑体" w:hAnsi="黑体" w:eastAsia="黑体" w:cs="黑体"/>
          <w:sz w:val="28"/>
          <w:szCs w:val="28"/>
          <w:lang w:val="en-US" w:eastAsia="zh-CN"/>
        </w:rPr>
        <w:t>【案件公开审查】</w:t>
      </w:r>
      <w:r>
        <w:rPr>
          <w:rFonts w:hint="eastAsia" w:ascii="仿宋_GB2312" w:hAnsi="仿宋_GB2312" w:eastAsia="仿宋_GB2312" w:cs="仿宋_GB2312"/>
          <w:sz w:val="28"/>
          <w:szCs w:val="28"/>
          <w:lang w:val="en-US" w:eastAsia="zh-CN"/>
        </w:rPr>
        <w:t>根据《刑事诉讼法》第八条及检务公开立法精神，结合最高检相关规定，确立检察案件公开审查制度。该制度是深化检务公开、保障司法公正的重要举措，核心是对争议大、社会影响大的刑事申诉及拟不捕、不起诉等案件，经同意或申请，公开听证、示证并邀请第三方参与，听取意见后依法处理。涉及涉密、隐私、未成年人犯罪等案件或申诉人不愿公开的，不适用；处理需以事实证据为基础，参考公开意见，确保程序透明、结果公正，提升司法公信力，化解社会矛盾。</w:t>
      </w:r>
    </w:p>
    <w:p w14:paraId="76B24925">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28"/>
          <w:szCs w:val="28"/>
          <w:lang w:val="en-US" w:eastAsia="zh-CN"/>
        </w:rPr>
      </w:pPr>
      <w:r>
        <w:rPr>
          <w:rFonts w:hint="default" w:ascii="Times New Roman" w:hAnsi="Times New Roman" w:eastAsia="微软雅黑" w:cs="Times New Roman"/>
          <w:sz w:val="28"/>
          <w:szCs w:val="28"/>
        </w:rPr>
        <w:t>⑩</w:t>
      </w:r>
      <w:r>
        <w:rPr>
          <w:rFonts w:hint="eastAsia"/>
          <w:sz w:val="28"/>
          <w:szCs w:val="28"/>
        </w:rPr>
        <w:t>【</w:t>
      </w:r>
      <w:r>
        <w:rPr>
          <w:rFonts w:hint="eastAsia" w:ascii="黑体" w:hAnsi="黑体" w:eastAsia="黑体" w:cs="黑体"/>
          <w:sz w:val="28"/>
          <w:szCs w:val="28"/>
          <w:lang w:val="en-US" w:eastAsia="zh-CN"/>
        </w:rPr>
        <w:t>“检护民生”专项行动</w:t>
      </w:r>
      <w:r>
        <w:rPr>
          <w:rFonts w:hint="eastAsia" w:ascii="黑体" w:hAnsi="黑体" w:eastAsia="黑体" w:cs="黑体"/>
          <w:sz w:val="28"/>
          <w:szCs w:val="28"/>
        </w:rPr>
        <w:t>】</w:t>
      </w:r>
      <w:r>
        <w:rPr>
          <w:rFonts w:hint="eastAsia" w:ascii="仿宋_GB2312" w:hAnsi="仿宋_GB2312" w:eastAsia="仿宋_GB2312" w:cs="仿宋_GB2312"/>
          <w:sz w:val="28"/>
          <w:szCs w:val="28"/>
          <w:lang w:val="en-US" w:eastAsia="zh-CN"/>
        </w:rPr>
        <w:t>“检护民生”专项行动是最高人民检察院部</w:t>
      </w:r>
      <w:r>
        <w:rPr>
          <w:rFonts w:hint="eastAsia" w:ascii="Times New Roman" w:hAnsi="Times New Roman" w:eastAsia="仿宋_GB2312" w:cs="Times New Roman"/>
          <w:color w:val="auto"/>
          <w:spacing w:val="-4"/>
          <w:kern w:val="2"/>
          <w:sz w:val="28"/>
          <w:szCs w:val="28"/>
          <w:u w:val="none"/>
          <w:lang w:val="en-US" w:eastAsia="zh-CN" w:bidi="ar-SA"/>
        </w:rPr>
        <w:t>署的在全国检察机关开展的专项行动，围绕就业、食药、社保等民生热点以及劳动</w:t>
      </w:r>
      <w:r>
        <w:rPr>
          <w:rFonts w:hint="eastAsia" w:ascii="仿宋_GB2312" w:hAnsi="仿宋_GB2312" w:eastAsia="仿宋_GB2312" w:cs="仿宋_GB2312"/>
          <w:sz w:val="28"/>
          <w:szCs w:val="28"/>
          <w:lang w:val="en-US" w:eastAsia="zh-CN"/>
        </w:rPr>
        <w:t>者、消费者、妇女等重点人群，聚焦一个地区、一类人群、一个行业等突出问题，重点加强民生</w:t>
      </w:r>
      <w:r>
        <w:rPr>
          <w:rFonts w:hint="default" w:ascii="仿宋_GB2312" w:hAnsi="仿宋_GB2312" w:eastAsia="仿宋_GB2312" w:cs="仿宋_GB2312"/>
          <w:sz w:val="28"/>
          <w:szCs w:val="28"/>
          <w:lang w:val="en-US" w:eastAsia="zh-CN"/>
        </w:rPr>
        <w:fldChar w:fldCharType="begin"/>
      </w:r>
      <w:r>
        <w:rPr>
          <w:rFonts w:hint="default" w:ascii="仿宋_GB2312" w:hAnsi="仿宋_GB2312" w:eastAsia="仿宋_GB2312" w:cs="仿宋_GB2312"/>
          <w:sz w:val="28"/>
          <w:szCs w:val="28"/>
          <w:lang w:val="en-US" w:eastAsia="zh-CN"/>
        </w:rPr>
        <w:instrText xml:space="preserve"> HYPERLINK "https://baike.baidu.com/item/%E5%8F%B8%E6%B3%95%E4%BF%9D%E9%9A%9C/6216103?fromModule=lemma_inlink" \t "https://baike.baidu.com/item/_blank" </w:instrText>
      </w:r>
      <w:r>
        <w:rPr>
          <w:rFonts w:hint="default" w:ascii="仿宋_GB2312" w:hAnsi="仿宋_GB2312" w:eastAsia="仿宋_GB2312" w:cs="仿宋_GB2312"/>
          <w:sz w:val="28"/>
          <w:szCs w:val="28"/>
          <w:lang w:val="en-US" w:eastAsia="zh-CN"/>
        </w:rPr>
        <w:fldChar w:fldCharType="separate"/>
      </w:r>
      <w:r>
        <w:rPr>
          <w:rFonts w:hint="default" w:ascii="仿宋_GB2312" w:hAnsi="仿宋_GB2312" w:eastAsia="仿宋_GB2312" w:cs="仿宋_GB2312"/>
          <w:sz w:val="28"/>
          <w:szCs w:val="28"/>
          <w:lang w:val="en-US" w:eastAsia="zh-CN"/>
        </w:rPr>
        <w:t>司法保障</w:t>
      </w:r>
      <w:r>
        <w:rPr>
          <w:rFonts w:hint="default" w:ascii="仿宋_GB2312" w:hAnsi="仿宋_GB2312" w:eastAsia="仿宋_GB2312" w:cs="仿宋_GB2312"/>
          <w:sz w:val="28"/>
          <w:szCs w:val="28"/>
          <w:lang w:val="en-US" w:eastAsia="zh-CN"/>
        </w:rPr>
        <w:fldChar w:fldCharType="end"/>
      </w:r>
      <w:r>
        <w:rPr>
          <w:rFonts w:hint="default" w:ascii="仿宋_GB2312" w:hAnsi="仿宋_GB2312" w:eastAsia="仿宋_GB2312" w:cs="仿宋_GB2312"/>
          <w:sz w:val="28"/>
          <w:szCs w:val="28"/>
          <w:lang w:val="en-US" w:eastAsia="zh-CN"/>
        </w:rPr>
        <w:t>，运用法治“力度”切实提升民生“温度”。</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7CBC12-DA0F-4F02-AD66-C24684942E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modern"/>
    <w:pitch w:val="default"/>
    <w:sig w:usb0="800002BF" w:usb1="38CF7CFA" w:usb2="00000016" w:usb3="00000000" w:csb0="00040001" w:csb1="00000000"/>
    <w:embedRegular r:id="rId2" w:fontKey="{7E898BD2-9F53-4F09-9EA1-19957CB01FA0}"/>
  </w:font>
  <w:font w:name="楷体">
    <w:panose1 w:val="02010609060101010101"/>
    <w:charset w:val="86"/>
    <w:family w:val="auto"/>
    <w:pitch w:val="default"/>
    <w:sig w:usb0="800002BF" w:usb1="38CF7CFA" w:usb2="00000016" w:usb3="00000000" w:csb0="00040001" w:csb1="00000000"/>
    <w:embedRegular r:id="rId3" w:fontKey="{31A07009-EFE8-4601-BFE0-853C7F98D91B}"/>
  </w:font>
  <w:font w:name="微软雅黑">
    <w:panose1 w:val="020B0503020204020204"/>
    <w:charset w:val="86"/>
    <w:family w:val="auto"/>
    <w:pitch w:val="default"/>
    <w:sig w:usb0="80000287" w:usb1="2ACF3C50" w:usb2="00000016" w:usb3="00000000" w:csb0="0004001F" w:csb1="00000000"/>
    <w:embedRegular r:id="rId4" w:fontKey="{06A31A13-5BAD-4710-AFC4-C690F8C02D06}"/>
  </w:font>
  <w:font w:name="楷体_GB2312">
    <w:altName w:val="楷体"/>
    <w:panose1 w:val="02010609030101010101"/>
    <w:charset w:val="86"/>
    <w:family w:val="auto"/>
    <w:pitch w:val="default"/>
    <w:sig w:usb0="00000000" w:usb1="00000000" w:usb2="00000000" w:usb3="00000000" w:csb0="00040000" w:csb1="00000000"/>
    <w:embedRegular r:id="rId5" w:fontKey="{06305FF3-2FFE-4EF0-AB4A-EAA98EF0ECDC}"/>
  </w:font>
  <w:font w:name="仿宋">
    <w:panose1 w:val="02010609060101010101"/>
    <w:charset w:val="86"/>
    <w:family w:val="modern"/>
    <w:pitch w:val="default"/>
    <w:sig w:usb0="800002BF" w:usb1="38CF7CFA" w:usb2="00000016" w:usb3="00000000" w:csb0="00040001" w:csb1="00000000"/>
    <w:embedRegular r:id="rId6" w:fontKey="{05433D3D-BFB4-423B-85B8-7DEE446A0C41}"/>
  </w:font>
  <w:font w:name="方正小标宋简体">
    <w:panose1 w:val="02010600010101010101"/>
    <w:charset w:val="86"/>
    <w:family w:val="auto"/>
    <w:pitch w:val="default"/>
    <w:sig w:usb0="00000001" w:usb1="080E0000" w:usb2="00000000" w:usb3="00000000" w:csb0="00040000" w:csb1="00000000"/>
    <w:embedRegular r:id="rId7" w:fontKey="{C597BF36-E86F-43EE-BE9C-9C42337114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1C8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FF25B">
                          <w:pPr>
                            <w:pStyle w:val="6"/>
                          </w:pPr>
                          <w:r>
                            <w:rPr>
                              <w:rFonts w:hint="eastAsia" w:ascii="方正小标宋简体" w:hAnsi="方正小标宋简体" w:eastAsia="方正小标宋简体" w:cs="方正小标宋简体"/>
                              <w:sz w:val="24"/>
                              <w:szCs w:val="24"/>
                            </w:rPr>
                            <w:fldChar w:fldCharType="begin"/>
                          </w:r>
                          <w:r>
                            <w:rPr>
                              <w:rFonts w:hint="eastAsia" w:ascii="方正小标宋简体" w:hAnsi="方正小标宋简体" w:eastAsia="方正小标宋简体" w:cs="方正小标宋简体"/>
                              <w:sz w:val="24"/>
                              <w:szCs w:val="24"/>
                            </w:rPr>
                            <w:instrText xml:space="preserve"> PAGE  \* MERGEFORMAT </w:instrText>
                          </w:r>
                          <w:r>
                            <w:rPr>
                              <w:rFonts w:hint="eastAsia" w:ascii="方正小标宋简体" w:hAnsi="方正小标宋简体" w:eastAsia="方正小标宋简体" w:cs="方正小标宋简体"/>
                              <w:sz w:val="24"/>
                              <w:szCs w:val="24"/>
                            </w:rPr>
                            <w:fldChar w:fldCharType="separate"/>
                          </w:r>
                          <w:r>
                            <w:rPr>
                              <w:rFonts w:hint="eastAsia" w:ascii="方正小标宋简体" w:hAnsi="方正小标宋简体" w:eastAsia="方正小标宋简体" w:cs="方正小标宋简体"/>
                              <w:sz w:val="24"/>
                              <w:szCs w:val="24"/>
                            </w:rPr>
                            <w:t>1</w:t>
                          </w:r>
                          <w:r>
                            <w:rPr>
                              <w:rFonts w:hint="eastAsia" w:ascii="方正小标宋简体" w:hAnsi="方正小标宋简体" w:eastAsia="方正小标宋简体" w:cs="方正小标宋简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7FF25B">
                    <w:pPr>
                      <w:pStyle w:val="6"/>
                    </w:pPr>
                    <w:r>
                      <w:rPr>
                        <w:rFonts w:hint="eastAsia" w:ascii="方正小标宋简体" w:hAnsi="方正小标宋简体" w:eastAsia="方正小标宋简体" w:cs="方正小标宋简体"/>
                        <w:sz w:val="24"/>
                        <w:szCs w:val="24"/>
                      </w:rPr>
                      <w:fldChar w:fldCharType="begin"/>
                    </w:r>
                    <w:r>
                      <w:rPr>
                        <w:rFonts w:hint="eastAsia" w:ascii="方正小标宋简体" w:hAnsi="方正小标宋简体" w:eastAsia="方正小标宋简体" w:cs="方正小标宋简体"/>
                        <w:sz w:val="24"/>
                        <w:szCs w:val="24"/>
                      </w:rPr>
                      <w:instrText xml:space="preserve"> PAGE  \* MERGEFORMAT </w:instrText>
                    </w:r>
                    <w:r>
                      <w:rPr>
                        <w:rFonts w:hint="eastAsia" w:ascii="方正小标宋简体" w:hAnsi="方正小标宋简体" w:eastAsia="方正小标宋简体" w:cs="方正小标宋简体"/>
                        <w:sz w:val="24"/>
                        <w:szCs w:val="24"/>
                      </w:rPr>
                      <w:fldChar w:fldCharType="separate"/>
                    </w:r>
                    <w:r>
                      <w:rPr>
                        <w:rFonts w:hint="eastAsia" w:ascii="方正小标宋简体" w:hAnsi="方正小标宋简体" w:eastAsia="方正小标宋简体" w:cs="方正小标宋简体"/>
                        <w:sz w:val="24"/>
                        <w:szCs w:val="24"/>
                      </w:rPr>
                      <w:t>1</w:t>
                    </w:r>
                    <w:r>
                      <w:rPr>
                        <w:rFonts w:hint="eastAsia" w:ascii="方正小标宋简体" w:hAnsi="方正小标宋简体" w:eastAsia="方正小标宋简体" w:cs="方正小标宋简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275CB"/>
    <w:rsid w:val="00B72344"/>
    <w:rsid w:val="02104022"/>
    <w:rsid w:val="024A1251"/>
    <w:rsid w:val="02B917C4"/>
    <w:rsid w:val="02D768EE"/>
    <w:rsid w:val="02F900F0"/>
    <w:rsid w:val="033A6423"/>
    <w:rsid w:val="034B5E80"/>
    <w:rsid w:val="03A5798C"/>
    <w:rsid w:val="061A5470"/>
    <w:rsid w:val="07603356"/>
    <w:rsid w:val="077C1812"/>
    <w:rsid w:val="07A37BC6"/>
    <w:rsid w:val="07F8733B"/>
    <w:rsid w:val="07FF5650"/>
    <w:rsid w:val="08330A08"/>
    <w:rsid w:val="09830F56"/>
    <w:rsid w:val="09E27CC3"/>
    <w:rsid w:val="09E53E97"/>
    <w:rsid w:val="09EF451D"/>
    <w:rsid w:val="0A69348C"/>
    <w:rsid w:val="0AE8450D"/>
    <w:rsid w:val="0B424B21"/>
    <w:rsid w:val="0B440899"/>
    <w:rsid w:val="0B9C5955"/>
    <w:rsid w:val="0BB84DE3"/>
    <w:rsid w:val="0BD22349"/>
    <w:rsid w:val="0BF40511"/>
    <w:rsid w:val="0C1D75EE"/>
    <w:rsid w:val="0D1D1456"/>
    <w:rsid w:val="0D8238FA"/>
    <w:rsid w:val="0DB717F6"/>
    <w:rsid w:val="0E342E47"/>
    <w:rsid w:val="0E8335E0"/>
    <w:rsid w:val="0FAE4E7B"/>
    <w:rsid w:val="10607DC5"/>
    <w:rsid w:val="10A57232"/>
    <w:rsid w:val="10CD7582"/>
    <w:rsid w:val="114F61E9"/>
    <w:rsid w:val="11E319E8"/>
    <w:rsid w:val="120A78C0"/>
    <w:rsid w:val="121A05A5"/>
    <w:rsid w:val="121E0096"/>
    <w:rsid w:val="128F2D41"/>
    <w:rsid w:val="145204CA"/>
    <w:rsid w:val="150A4901"/>
    <w:rsid w:val="157E709D"/>
    <w:rsid w:val="16734728"/>
    <w:rsid w:val="169C07EF"/>
    <w:rsid w:val="17101F77"/>
    <w:rsid w:val="172A45FC"/>
    <w:rsid w:val="17577BA6"/>
    <w:rsid w:val="17620A24"/>
    <w:rsid w:val="17B36718"/>
    <w:rsid w:val="17C411FC"/>
    <w:rsid w:val="17D82A95"/>
    <w:rsid w:val="190D2C12"/>
    <w:rsid w:val="190D5C90"/>
    <w:rsid w:val="19371A3D"/>
    <w:rsid w:val="196E1858"/>
    <w:rsid w:val="19AE61A3"/>
    <w:rsid w:val="19BE3F0C"/>
    <w:rsid w:val="19DB2D10"/>
    <w:rsid w:val="19DF4FFB"/>
    <w:rsid w:val="1A5C1AB6"/>
    <w:rsid w:val="1A807414"/>
    <w:rsid w:val="1C1D1717"/>
    <w:rsid w:val="1C321C52"/>
    <w:rsid w:val="1CAC2114"/>
    <w:rsid w:val="1CDD28FB"/>
    <w:rsid w:val="1D126A49"/>
    <w:rsid w:val="1D3C5874"/>
    <w:rsid w:val="1D7D6C2A"/>
    <w:rsid w:val="1DE06B47"/>
    <w:rsid w:val="1DE86D9F"/>
    <w:rsid w:val="1E17083B"/>
    <w:rsid w:val="1F3709E9"/>
    <w:rsid w:val="1FA83694"/>
    <w:rsid w:val="1FCA7CA1"/>
    <w:rsid w:val="203942EC"/>
    <w:rsid w:val="207B4905"/>
    <w:rsid w:val="20F83309"/>
    <w:rsid w:val="214E201A"/>
    <w:rsid w:val="215628EE"/>
    <w:rsid w:val="21D400EF"/>
    <w:rsid w:val="222B4109"/>
    <w:rsid w:val="227A33FE"/>
    <w:rsid w:val="22BF31CF"/>
    <w:rsid w:val="23533917"/>
    <w:rsid w:val="251946ED"/>
    <w:rsid w:val="255E0351"/>
    <w:rsid w:val="26CF694C"/>
    <w:rsid w:val="26F23447"/>
    <w:rsid w:val="275B2D9A"/>
    <w:rsid w:val="28BA1D43"/>
    <w:rsid w:val="28BC28F5"/>
    <w:rsid w:val="2917060D"/>
    <w:rsid w:val="29910CF5"/>
    <w:rsid w:val="299419FE"/>
    <w:rsid w:val="2A021BF3"/>
    <w:rsid w:val="2A7D127A"/>
    <w:rsid w:val="2ABA5F57"/>
    <w:rsid w:val="2AFC6512"/>
    <w:rsid w:val="2B634913"/>
    <w:rsid w:val="2B932D42"/>
    <w:rsid w:val="2C393D1C"/>
    <w:rsid w:val="2C4E7372"/>
    <w:rsid w:val="2C9114EC"/>
    <w:rsid w:val="2D962D7E"/>
    <w:rsid w:val="2EDA313F"/>
    <w:rsid w:val="2F083808"/>
    <w:rsid w:val="2F124686"/>
    <w:rsid w:val="2F6A3A6B"/>
    <w:rsid w:val="301C72E4"/>
    <w:rsid w:val="31172428"/>
    <w:rsid w:val="31B1462B"/>
    <w:rsid w:val="31C05229"/>
    <w:rsid w:val="32E12CEE"/>
    <w:rsid w:val="337E678E"/>
    <w:rsid w:val="339B7340"/>
    <w:rsid w:val="33D62126"/>
    <w:rsid w:val="34733E19"/>
    <w:rsid w:val="34735BC7"/>
    <w:rsid w:val="34DB4956"/>
    <w:rsid w:val="351B07F0"/>
    <w:rsid w:val="357716E7"/>
    <w:rsid w:val="35775243"/>
    <w:rsid w:val="3586192A"/>
    <w:rsid w:val="359622DE"/>
    <w:rsid w:val="362D1DA6"/>
    <w:rsid w:val="37556BD7"/>
    <w:rsid w:val="3787198A"/>
    <w:rsid w:val="37C37D73"/>
    <w:rsid w:val="37F92887"/>
    <w:rsid w:val="38BE13DB"/>
    <w:rsid w:val="38C033A5"/>
    <w:rsid w:val="39162FC5"/>
    <w:rsid w:val="39180AEB"/>
    <w:rsid w:val="3922196A"/>
    <w:rsid w:val="39391ABB"/>
    <w:rsid w:val="395A08EE"/>
    <w:rsid w:val="3971469F"/>
    <w:rsid w:val="39A20CFD"/>
    <w:rsid w:val="39E41315"/>
    <w:rsid w:val="3AEC2142"/>
    <w:rsid w:val="3AF76465"/>
    <w:rsid w:val="3BAC7C11"/>
    <w:rsid w:val="3C97441D"/>
    <w:rsid w:val="3C9E39FD"/>
    <w:rsid w:val="3CE05DC4"/>
    <w:rsid w:val="3CE60F00"/>
    <w:rsid w:val="3D9F17DB"/>
    <w:rsid w:val="3F0D4E6A"/>
    <w:rsid w:val="3F406FEE"/>
    <w:rsid w:val="3F980BD8"/>
    <w:rsid w:val="3FA27361"/>
    <w:rsid w:val="3FC31D4D"/>
    <w:rsid w:val="3FC337AF"/>
    <w:rsid w:val="40140424"/>
    <w:rsid w:val="406506AD"/>
    <w:rsid w:val="40A62E81"/>
    <w:rsid w:val="40C34A4F"/>
    <w:rsid w:val="40E57E4D"/>
    <w:rsid w:val="41B079AE"/>
    <w:rsid w:val="423746D8"/>
    <w:rsid w:val="42706471"/>
    <w:rsid w:val="42D02437"/>
    <w:rsid w:val="434D3A87"/>
    <w:rsid w:val="438020AF"/>
    <w:rsid w:val="43943795"/>
    <w:rsid w:val="44870170"/>
    <w:rsid w:val="44C10289"/>
    <w:rsid w:val="44E73A68"/>
    <w:rsid w:val="45635879"/>
    <w:rsid w:val="45A8390C"/>
    <w:rsid w:val="463D4287"/>
    <w:rsid w:val="4646138E"/>
    <w:rsid w:val="46647D19"/>
    <w:rsid w:val="46916381"/>
    <w:rsid w:val="46DE5FB3"/>
    <w:rsid w:val="46FE2387"/>
    <w:rsid w:val="4814634D"/>
    <w:rsid w:val="48790E7B"/>
    <w:rsid w:val="487D6BBD"/>
    <w:rsid w:val="488241D3"/>
    <w:rsid w:val="489322FA"/>
    <w:rsid w:val="490B5F77"/>
    <w:rsid w:val="49262DB0"/>
    <w:rsid w:val="4AE90539"/>
    <w:rsid w:val="4AF57D24"/>
    <w:rsid w:val="4B7047B7"/>
    <w:rsid w:val="4B84756E"/>
    <w:rsid w:val="4B9F32EE"/>
    <w:rsid w:val="4CB6269D"/>
    <w:rsid w:val="4D027691"/>
    <w:rsid w:val="4DA846DC"/>
    <w:rsid w:val="4DAB5F7A"/>
    <w:rsid w:val="4DB36BDD"/>
    <w:rsid w:val="4E102281"/>
    <w:rsid w:val="4E4A12EF"/>
    <w:rsid w:val="4E5A52AA"/>
    <w:rsid w:val="4E870795"/>
    <w:rsid w:val="4EB3158A"/>
    <w:rsid w:val="4EC243A4"/>
    <w:rsid w:val="4F55619D"/>
    <w:rsid w:val="4F6E54B1"/>
    <w:rsid w:val="4F910FA7"/>
    <w:rsid w:val="4FBA6948"/>
    <w:rsid w:val="50046F5E"/>
    <w:rsid w:val="50C25AB5"/>
    <w:rsid w:val="50D77086"/>
    <w:rsid w:val="523B4140"/>
    <w:rsid w:val="52A631B4"/>
    <w:rsid w:val="52DD4BCD"/>
    <w:rsid w:val="53283D91"/>
    <w:rsid w:val="53803A05"/>
    <w:rsid w:val="5389410F"/>
    <w:rsid w:val="53E75832"/>
    <w:rsid w:val="545804DE"/>
    <w:rsid w:val="54C93A04"/>
    <w:rsid w:val="54CF254E"/>
    <w:rsid w:val="551F126F"/>
    <w:rsid w:val="55D07617"/>
    <w:rsid w:val="55D10548"/>
    <w:rsid w:val="566273F2"/>
    <w:rsid w:val="56AB0D99"/>
    <w:rsid w:val="576275CB"/>
    <w:rsid w:val="582E1C82"/>
    <w:rsid w:val="5853793A"/>
    <w:rsid w:val="586B07E0"/>
    <w:rsid w:val="58CD3249"/>
    <w:rsid w:val="593B1A5A"/>
    <w:rsid w:val="59417793"/>
    <w:rsid w:val="59A3044D"/>
    <w:rsid w:val="59AE5B65"/>
    <w:rsid w:val="5B22707F"/>
    <w:rsid w:val="5B9B13DC"/>
    <w:rsid w:val="5BA04B01"/>
    <w:rsid w:val="5BAB2FCD"/>
    <w:rsid w:val="5BFE7BBD"/>
    <w:rsid w:val="5C1E3DBB"/>
    <w:rsid w:val="5C21351C"/>
    <w:rsid w:val="5C21669E"/>
    <w:rsid w:val="5C5A513A"/>
    <w:rsid w:val="5C6914DA"/>
    <w:rsid w:val="5C9851A2"/>
    <w:rsid w:val="5D075418"/>
    <w:rsid w:val="5D3B3EB2"/>
    <w:rsid w:val="5D7F0635"/>
    <w:rsid w:val="5D871341"/>
    <w:rsid w:val="5D924A61"/>
    <w:rsid w:val="5DBC1ADE"/>
    <w:rsid w:val="5DE03A1E"/>
    <w:rsid w:val="5F230066"/>
    <w:rsid w:val="5F3C1128"/>
    <w:rsid w:val="605D5702"/>
    <w:rsid w:val="613459E2"/>
    <w:rsid w:val="62A0552A"/>
    <w:rsid w:val="62EF200D"/>
    <w:rsid w:val="6377272F"/>
    <w:rsid w:val="643B114E"/>
    <w:rsid w:val="64DE058B"/>
    <w:rsid w:val="65003C70"/>
    <w:rsid w:val="6573290D"/>
    <w:rsid w:val="665723A3"/>
    <w:rsid w:val="66991DC7"/>
    <w:rsid w:val="66F12F1B"/>
    <w:rsid w:val="66FE2FDC"/>
    <w:rsid w:val="67191D4F"/>
    <w:rsid w:val="674E19F8"/>
    <w:rsid w:val="67A55390"/>
    <w:rsid w:val="67A81366"/>
    <w:rsid w:val="67ED6539"/>
    <w:rsid w:val="681A18DB"/>
    <w:rsid w:val="689A0C6D"/>
    <w:rsid w:val="68A65864"/>
    <w:rsid w:val="692E0A88"/>
    <w:rsid w:val="694E2184"/>
    <w:rsid w:val="6975145D"/>
    <w:rsid w:val="697B0272"/>
    <w:rsid w:val="69E14DA6"/>
    <w:rsid w:val="6A0E099D"/>
    <w:rsid w:val="6A1B7B8C"/>
    <w:rsid w:val="6A3B3D8A"/>
    <w:rsid w:val="6A77474D"/>
    <w:rsid w:val="6A8B0146"/>
    <w:rsid w:val="6ACE3FD8"/>
    <w:rsid w:val="6AE96174"/>
    <w:rsid w:val="6B5E5F82"/>
    <w:rsid w:val="6B7457A6"/>
    <w:rsid w:val="6BF863D7"/>
    <w:rsid w:val="6C0E5BFA"/>
    <w:rsid w:val="6CE34991"/>
    <w:rsid w:val="6CF7043C"/>
    <w:rsid w:val="6D446295"/>
    <w:rsid w:val="6E623FDB"/>
    <w:rsid w:val="6E775E47"/>
    <w:rsid w:val="6ED0717B"/>
    <w:rsid w:val="6EDF387E"/>
    <w:rsid w:val="6EE36ECA"/>
    <w:rsid w:val="6F6D49E6"/>
    <w:rsid w:val="6F9A6E5F"/>
    <w:rsid w:val="6FC52A74"/>
    <w:rsid w:val="702C664F"/>
    <w:rsid w:val="70381498"/>
    <w:rsid w:val="70AB1C6A"/>
    <w:rsid w:val="70BA00FF"/>
    <w:rsid w:val="71092D7E"/>
    <w:rsid w:val="710E21F8"/>
    <w:rsid w:val="71CB13D3"/>
    <w:rsid w:val="726E11A1"/>
    <w:rsid w:val="72FC49FE"/>
    <w:rsid w:val="72FF4E4D"/>
    <w:rsid w:val="730D09BA"/>
    <w:rsid w:val="73591E51"/>
    <w:rsid w:val="73A62BBC"/>
    <w:rsid w:val="74C44514"/>
    <w:rsid w:val="75241FEA"/>
    <w:rsid w:val="768A0573"/>
    <w:rsid w:val="76B52833"/>
    <w:rsid w:val="77137B17"/>
    <w:rsid w:val="7753605F"/>
    <w:rsid w:val="78831BCC"/>
    <w:rsid w:val="78970D25"/>
    <w:rsid w:val="789F064A"/>
    <w:rsid w:val="796C21B2"/>
    <w:rsid w:val="799A6D1F"/>
    <w:rsid w:val="79D00993"/>
    <w:rsid w:val="7A6D7A0B"/>
    <w:rsid w:val="7AC5601E"/>
    <w:rsid w:val="7AD6371C"/>
    <w:rsid w:val="7B14665D"/>
    <w:rsid w:val="7B2F16E9"/>
    <w:rsid w:val="7B8864B7"/>
    <w:rsid w:val="7BB8348D"/>
    <w:rsid w:val="7C0B76D9"/>
    <w:rsid w:val="7DA57A41"/>
    <w:rsid w:val="7DCB394B"/>
    <w:rsid w:val="7EB10D93"/>
    <w:rsid w:val="7F2215CB"/>
    <w:rsid w:val="7F885137"/>
    <w:rsid w:val="7FBF4C46"/>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jc w:val="center"/>
      <w:outlineLvl w:val="0"/>
    </w:pPr>
    <w:rPr>
      <w:rFonts w:eastAsia="宋体"/>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te Heading"/>
    <w:basedOn w:val="1"/>
    <w:next w:val="1"/>
    <w:semiHidden/>
    <w:unhideWhenUsed/>
    <w:qFormat/>
    <w:uiPriority w:val="99"/>
    <w:pPr>
      <w:jc w:val="center"/>
    </w:pPr>
  </w:style>
  <w:style w:type="paragraph" w:styleId="4">
    <w:name w:val="Body Text"/>
    <w:basedOn w:val="1"/>
    <w:unhideWhenUsed/>
    <w:qFormat/>
    <w:uiPriority w:val="99"/>
    <w:pPr>
      <w:spacing w:after="120"/>
    </w:pPr>
  </w:style>
  <w:style w:type="paragraph" w:styleId="5">
    <w:name w:val="Body Text Indent"/>
    <w:basedOn w:val="1"/>
    <w:next w:val="1"/>
    <w:unhideWhenUsed/>
    <w:qFormat/>
    <w:uiPriority w:val="99"/>
    <w:pPr>
      <w:widowControl w:val="0"/>
      <w:adjustRightInd/>
      <w:snapToGrid/>
      <w:spacing w:after="0"/>
      <w:ind w:firstLine="630"/>
      <w:jc w:val="both"/>
    </w:pPr>
    <w:rPr>
      <w:rFonts w:ascii="Times New Roman" w:hAnsi="Times New Roman" w:eastAsia="仿宋_GB2312" w:cs="Times New Roman"/>
      <w:kern w:val="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3"/>
    <w:unhideWhenUsed/>
    <w:qFormat/>
    <w:uiPriority w:val="99"/>
    <w:pPr>
      <w:snapToGrid w:val="0"/>
      <w:jc w:val="left"/>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5"/>
    <w:next w:val="1"/>
    <w:unhideWhenUsed/>
    <w:qFormat/>
    <w:uiPriority w:val="99"/>
    <w:pPr>
      <w:ind w:left="200" w:firstLine="420"/>
    </w:p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d79355cd-2f33-4f43-ba2f-27fcf8e54f67</errorID>
      <errorWord>保障妇女合法权益</errorWord>
      <group>L1_Political</group>
      <groupName>政治性问题</groupName>
      <ability>L2_Keyword</ability>
      <abilityName>固定表述</abilityName>
      <candidateList>
        <item>保障妇女儿童合法权益</item>
      </candidateList>
      <explain>词汇“保障妇女儿童合法权益”在特定场景下为固定表述形式，请确认此处的“保障妇女合法权益”是否存在不当。</explain>
      <paraID> 61A89D8</paraID>
      <start>71</start>
      <end>79</end>
      <status>ignored</status>
      <modifiedWord/>
      <trackRevisions>false</trackRevisions>
    </reviewItem>
    <reviewItem>
      <errorID>15fd3799-24bc-4a9e-9909-2976ab66e15f</errorID>
      <errorWord>更好服务</errorWord>
      <group>L1_Word</group>
      <groupName>字词问题</groupName>
      <ability>L2_Typo</ability>
      <abilityName>字词错误</abilityName>
      <candidateList>
        <item>更好地服务</item>
      </candidateList>
      <explain/>
      <paraID>360E5D68</paraID>
      <start>152</start>
      <end>156</end>
      <status>ignored</status>
      <modifiedWord/>
      <trackRevisions>false</trackRevisions>
    </reviewItem>
    <reviewItem>
      <errorID>82f7fa53-f004-49da-aa03-a523702968ab</errorID>
      <errorWord>刑事诉讼法</errorWord>
      <group>L1_Knowledge</group>
      <groupName>知识性问题</groupName>
      <ability>L2_Knowledge</ability>
      <abilityName>其他知识</abilityName>
      <candidateList>
        <item>中华人民共和国刑事诉讼法</item>
      </candidateList>
      <explain>当前法律法规名称使用简称，请注意是否应当使用全称。</explain>
      <paraID>  7ABE49</paraID>
      <start>9</start>
      <end>21</end>
      <status>modified</status>
      <modifiedWord>中华人民共和国刑事诉讼法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b5fc9e-3ef5-47c9-9b48-97e763310d9e}">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6434</Words>
  <Characters>6526</Characters>
  <Lines>0</Lines>
  <Paragraphs>0</Paragraphs>
  <TotalTime>97</TotalTime>
  <ScaleCrop>false</ScaleCrop>
  <LinksUpToDate>false</LinksUpToDate>
  <CharactersWithSpaces>6529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2025-11-05T02:02:00Z</dcterms:created>
  <dc:creator>闫长征</dc:creator>
  <cp:lastModifiedBy>闫长征</cp:lastModifiedBy>
  <cp:lastPrinted>2025-12-17T01:37:00Z</cp:lastPrinted>
  <dcterms:modified xsi:type="dcterms:W3CDTF">2026-01-08T02:27:33Z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8476D3E35E4A467A913C7E8C1188DD75_13</vt:lpwstr>
  </property>
  <property fmtid="{D5CDD505-2E9C-101B-9397-08002B2CF9AE}" pid="4" name="KSOTemplateDocerSaveRecord">
    <vt:lpwstr>eyJoZGlkIjoiNzg2YWM0MWYxOGE1ODNlNTY2MWQ4ODc5NDE5NzdkM2YiLCJ1c2VySWQiOiI3NDA1NjExNTQifQ==</vt:lpwstr>
  </property>
</Properties>
</file>