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40" w:lineRule="exact"/>
        <w:jc w:val="center"/>
        <w:rPr>
          <w:rFonts w:hint="eastAsia"/>
          <w:b/>
          <w:sz w:val="44"/>
          <w:szCs w:val="44"/>
        </w:rPr>
      </w:pPr>
      <w:r>
        <w:rPr>
          <w:rFonts w:hint="eastAsia"/>
          <w:b/>
          <w:sz w:val="44"/>
          <w:szCs w:val="44"/>
        </w:rPr>
        <w:t xml:space="preserve">目 </w:t>
      </w:r>
      <w:r>
        <w:rPr>
          <w:rFonts w:hint="eastAsia"/>
          <w:b/>
          <w:sz w:val="44"/>
          <w:szCs w:val="44"/>
          <w:lang w:val="en-US" w:eastAsia="zh-CN"/>
        </w:rPr>
        <w:t xml:space="preserve">   </w:t>
      </w:r>
      <w:r>
        <w:rPr>
          <w:rFonts w:hint="eastAsia"/>
          <w:b/>
          <w:sz w:val="44"/>
          <w:szCs w:val="44"/>
        </w:rPr>
        <w:t xml:space="preserve">录 </w:t>
      </w:r>
    </w:p>
    <w:p>
      <w:pPr>
        <w:spacing w:line="540" w:lineRule="exact"/>
        <w:jc w:val="both"/>
        <w:rPr>
          <w:rFonts w:hint="eastAsia"/>
          <w:b/>
          <w:sz w:val="44"/>
          <w:szCs w:val="44"/>
        </w:rPr>
      </w:pPr>
    </w:p>
    <w:p>
      <w:pPr>
        <w:spacing w:line="54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第一部分 丹东市振兴区人民检察院概况 </w:t>
      </w:r>
    </w:p>
    <w:p>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lang w:eastAsia="zh-CN"/>
        </w:rPr>
        <w:t>一、</w:t>
      </w:r>
      <w:r>
        <w:rPr>
          <w:rFonts w:hint="eastAsia" w:ascii="仿宋_GB2312" w:hAnsi="黑体" w:eastAsia="仿宋_GB2312"/>
          <w:sz w:val="32"/>
          <w:szCs w:val="32"/>
        </w:rPr>
        <w:t xml:space="preserve">主要职责 </w:t>
      </w:r>
    </w:p>
    <w:p>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lang w:eastAsia="zh-CN"/>
        </w:rPr>
        <w:t>二、</w:t>
      </w:r>
      <w:r>
        <w:rPr>
          <w:rFonts w:hint="eastAsia" w:ascii="仿宋_GB2312" w:hAnsi="黑体" w:eastAsia="仿宋_GB2312"/>
          <w:sz w:val="32"/>
          <w:szCs w:val="32"/>
        </w:rPr>
        <w:t>部门</w:t>
      </w:r>
      <w:r>
        <w:rPr>
          <w:rFonts w:hint="eastAsia" w:ascii="仿宋_GB2312" w:hAnsi="黑体" w:eastAsia="仿宋_GB2312"/>
          <w:sz w:val="32"/>
          <w:szCs w:val="32"/>
          <w:lang w:eastAsia="zh-CN"/>
        </w:rPr>
        <w:t>预算</w:t>
      </w:r>
      <w:r>
        <w:rPr>
          <w:rFonts w:hint="eastAsia" w:ascii="仿宋_GB2312" w:hAnsi="黑体" w:eastAsia="仿宋_GB2312"/>
          <w:sz w:val="32"/>
          <w:szCs w:val="32"/>
        </w:rPr>
        <w:t xml:space="preserve">单位构成 </w:t>
      </w:r>
    </w:p>
    <w:p>
      <w:pPr>
        <w:spacing w:line="54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第二部分 丹东市振兴区人民检察院2017年度部门预算公开表 </w:t>
      </w:r>
    </w:p>
    <w:p>
      <w:pPr>
        <w:numPr>
          <w:ilvl w:val="0"/>
          <w:numId w:val="0"/>
        </w:numPr>
        <w:spacing w:line="540" w:lineRule="exact"/>
        <w:ind w:leftChars="0"/>
        <w:rPr>
          <w:rFonts w:hint="eastAsia" w:ascii="仿宋_GB2312" w:hAnsi="黑体" w:eastAsia="仿宋_GB2312"/>
          <w:sz w:val="32"/>
          <w:szCs w:val="32"/>
          <w:lang w:val="en-US" w:eastAsia="zh-CN"/>
        </w:rPr>
      </w:pPr>
      <w:r>
        <w:rPr>
          <w:rFonts w:ascii="Segoe UI" w:hAnsi="Segoe UI" w:eastAsia="宋体" w:cs="Segoe UI"/>
          <w:color w:val="333333"/>
          <w:kern w:val="0"/>
          <w:sz w:val="21"/>
          <w:szCs w:val="21"/>
          <w:lang w:val="en-US" w:eastAsia="zh-CN" w:bidi="ar-SA"/>
        </w:rPr>
        <w:t>　</w:t>
      </w:r>
      <w:r>
        <w:rPr>
          <w:rFonts w:hint="eastAsia" w:ascii="Segoe UI" w:hAnsi="Segoe UI" w:eastAsia="宋体" w:cs="Segoe UI"/>
          <w:color w:val="333333"/>
          <w:kern w:val="0"/>
          <w:sz w:val="21"/>
          <w:szCs w:val="21"/>
          <w:lang w:val="en-US" w:eastAsia="zh-CN" w:bidi="ar-SA"/>
        </w:rPr>
        <w:t xml:space="preserve">    </w:t>
      </w:r>
      <w:r>
        <w:rPr>
          <w:rFonts w:hint="eastAsia" w:ascii="仿宋_GB2312" w:hAnsi="黑体" w:eastAsia="仿宋_GB2312"/>
          <w:sz w:val="32"/>
          <w:szCs w:val="32"/>
          <w:lang w:val="en-US" w:eastAsia="zh-CN"/>
        </w:rPr>
        <w:t>一、2017年收支预算总表</w:t>
      </w:r>
    </w:p>
    <w:p>
      <w:pPr>
        <w:numPr>
          <w:ilvl w:val="0"/>
          <w:numId w:val="0"/>
        </w:numPr>
        <w:spacing w:line="540" w:lineRule="exact"/>
        <w:ind w:leftChars="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二、2017年收入预算总表</w:t>
      </w:r>
    </w:p>
    <w:p>
      <w:pPr>
        <w:numPr>
          <w:ilvl w:val="0"/>
          <w:numId w:val="0"/>
        </w:numPr>
        <w:spacing w:line="540" w:lineRule="exact"/>
        <w:ind w:leftChars="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三、2017年支出预算总表</w:t>
      </w:r>
    </w:p>
    <w:p>
      <w:pPr>
        <w:numPr>
          <w:ilvl w:val="0"/>
          <w:numId w:val="0"/>
        </w:numPr>
        <w:spacing w:line="540" w:lineRule="exact"/>
        <w:ind w:leftChars="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四、2017年按功能科目预算总表</w:t>
      </w:r>
    </w:p>
    <w:p>
      <w:pPr>
        <w:numPr>
          <w:ilvl w:val="0"/>
          <w:numId w:val="0"/>
        </w:numPr>
        <w:spacing w:line="540" w:lineRule="exact"/>
        <w:ind w:leftChars="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五、2017年一般公共预算支出表</w:t>
      </w:r>
    </w:p>
    <w:p>
      <w:pPr>
        <w:numPr>
          <w:ilvl w:val="0"/>
          <w:numId w:val="0"/>
        </w:numPr>
        <w:spacing w:line="540" w:lineRule="exact"/>
        <w:ind w:leftChars="0"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六、2017年财政拨款收入安排支出表</w:t>
      </w:r>
    </w:p>
    <w:p>
      <w:pPr>
        <w:numPr>
          <w:ilvl w:val="0"/>
          <w:numId w:val="0"/>
        </w:numPr>
        <w:spacing w:line="540" w:lineRule="exact"/>
        <w:ind w:leftChars="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七、2017年上级财政提前告知补助收入表</w:t>
      </w:r>
    </w:p>
    <w:p>
      <w:pPr>
        <w:spacing w:line="540" w:lineRule="exact"/>
        <w:ind w:left="640" w:hanging="640" w:hanging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八、2017年纳入预算管理的行政事业性收费等非税收入安排支出表</w:t>
      </w:r>
    </w:p>
    <w:p>
      <w:pPr>
        <w:spacing w:line="540" w:lineRule="exact"/>
        <w:ind w:left="640" w:hanging="640" w:hanging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九、2017年纳入政府性基金预算管理收入安排支出表</w:t>
      </w:r>
    </w:p>
    <w:p>
      <w:pPr>
        <w:spacing w:line="540" w:lineRule="exact"/>
        <w:ind w:left="640" w:hanging="640" w:hanging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十、2017年纳入专户管理的行政事业性收费等非税收入安排支出表</w:t>
      </w:r>
    </w:p>
    <w:p>
      <w:pPr>
        <w:spacing w:line="540" w:lineRule="exact"/>
        <w:ind w:left="640" w:hanging="640" w:hanging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十一、2017年城市建设维护税等非税收入安排支出表</w:t>
      </w:r>
    </w:p>
    <w:p>
      <w:pPr>
        <w:spacing w:line="540" w:lineRule="exact"/>
        <w:ind w:left="640" w:hanging="640" w:hanging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十二、2017年专项收入等非税收入安排支出表</w:t>
      </w:r>
    </w:p>
    <w:p>
      <w:pPr>
        <w:spacing w:line="540" w:lineRule="exact"/>
        <w:ind w:left="640" w:hanging="640" w:hanging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十三、2017年一般公共预算基本支</w:t>
      </w:r>
      <w:bookmarkStart w:id="0" w:name="_GoBack"/>
      <w:bookmarkEnd w:id="0"/>
      <w:r>
        <w:rPr>
          <w:rFonts w:hint="eastAsia" w:ascii="仿宋_GB2312" w:hAnsi="黑体" w:eastAsia="仿宋_GB2312"/>
          <w:sz w:val="32"/>
          <w:szCs w:val="32"/>
          <w:lang w:val="en-US" w:eastAsia="zh-CN"/>
        </w:rPr>
        <w:t>出表</w:t>
      </w:r>
    </w:p>
    <w:p>
      <w:pPr>
        <w:spacing w:line="540" w:lineRule="exact"/>
        <w:ind w:left="640" w:hanging="640" w:hanging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十四、2017年“三公”经费支出表</w:t>
      </w:r>
    </w:p>
    <w:p>
      <w:pPr>
        <w:spacing w:line="540" w:lineRule="exact"/>
        <w:ind w:left="640" w:hanging="640" w:hanging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十五、2017年债务支出明细情况表</w:t>
      </w:r>
    </w:p>
    <w:p>
      <w:pPr>
        <w:spacing w:line="540" w:lineRule="exact"/>
        <w:ind w:left="640" w:hanging="640" w:hanging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十六、2017年政府采购支出明细情况表</w:t>
      </w:r>
    </w:p>
    <w:p>
      <w:pPr>
        <w:spacing w:line="540" w:lineRule="exact"/>
        <w:ind w:left="640" w:hanging="640" w:hanging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十七、2017年政府购买服务支出明细情况表</w:t>
      </w:r>
    </w:p>
    <w:p>
      <w:pPr>
        <w:pStyle w:val="4"/>
        <w:wordWrap/>
        <w:adjustRightInd/>
        <w:snapToGrid/>
        <w:spacing w:after="0" w:line="240" w:lineRule="auto"/>
        <w:ind w:left="0" w:leftChars="0" w:right="0" w:firstLine="0" w:firstLineChars="0"/>
        <w:textAlignment w:val="auto"/>
        <w:outlineLvl w:val="9"/>
        <w:rPr>
          <w:rFonts w:ascii="Segoe UI" w:hAnsi="Segoe UI" w:cs="Segoe UI"/>
          <w:color w:val="333333"/>
          <w:sz w:val="21"/>
          <w:szCs w:val="21"/>
        </w:rPr>
      </w:pPr>
    </w:p>
    <w:p>
      <w:pPr>
        <w:spacing w:line="54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第三部分 丹东市振兴区人民检察院2017年度部门预算情况说明 </w:t>
      </w:r>
    </w:p>
    <w:p>
      <w:pPr>
        <w:spacing w:line="54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第四部分 名词解释 </w:t>
      </w:r>
    </w:p>
    <w:p>
      <w:pPr>
        <w:pStyle w:val="4"/>
        <w:wordWrap/>
        <w:adjustRightInd/>
        <w:snapToGrid/>
        <w:spacing w:after="0" w:line="240" w:lineRule="auto"/>
        <w:ind w:left="0" w:leftChars="0" w:right="0" w:firstLine="0" w:firstLineChars="0"/>
        <w:jc w:val="center"/>
        <w:textAlignment w:val="auto"/>
        <w:outlineLvl w:val="9"/>
        <w:rPr>
          <w:rFonts w:hint="eastAsia" w:ascii="宋体" w:hAnsi="宋体" w:eastAsia="宋体" w:cs="黑体"/>
          <w:b/>
          <w:kern w:val="2"/>
          <w:sz w:val="36"/>
          <w:szCs w:val="36"/>
          <w:lang w:val="en-US" w:eastAsia="zh-CN" w:bidi="ar-SA"/>
        </w:rPr>
      </w:pPr>
      <w:r>
        <w:rPr>
          <w:rFonts w:hint="eastAsia" w:ascii="宋体" w:hAnsi="宋体" w:eastAsia="宋体" w:cs="黑体"/>
          <w:b/>
          <w:kern w:val="2"/>
          <w:sz w:val="36"/>
          <w:szCs w:val="36"/>
          <w:lang w:val="en-US" w:eastAsia="zh-CN" w:bidi="ar-SA"/>
        </w:rPr>
        <w:t>第一部分 丹东市</w:t>
      </w:r>
      <w:r>
        <w:rPr>
          <w:rFonts w:hint="eastAsia" w:cs="黑体"/>
          <w:b/>
          <w:kern w:val="2"/>
          <w:sz w:val="36"/>
          <w:szCs w:val="36"/>
          <w:lang w:val="en-US" w:eastAsia="zh-CN" w:bidi="ar-SA"/>
        </w:rPr>
        <w:t>振兴区人民检察院</w:t>
      </w:r>
      <w:r>
        <w:rPr>
          <w:rFonts w:hint="eastAsia" w:ascii="宋体" w:hAnsi="宋体" w:eastAsia="宋体" w:cs="黑体"/>
          <w:b/>
          <w:kern w:val="2"/>
          <w:sz w:val="36"/>
          <w:szCs w:val="36"/>
          <w:lang w:val="en-US" w:eastAsia="zh-CN" w:bidi="ar-SA"/>
        </w:rPr>
        <w:t>概况</w:t>
      </w:r>
    </w:p>
    <w:p>
      <w:pPr>
        <w:pStyle w:val="4"/>
        <w:rPr>
          <w:rFonts w:hint="eastAsia" w:ascii="黑体" w:hAnsi="Calibri" w:eastAsia="黑体" w:cs="黑体"/>
          <w:kern w:val="2"/>
          <w:sz w:val="32"/>
          <w:szCs w:val="32"/>
          <w:lang w:val="en-US" w:eastAsia="zh-CN" w:bidi="ar-SA"/>
        </w:rPr>
      </w:pPr>
      <w:r>
        <w:rPr>
          <w:rFonts w:ascii="Segoe UI" w:hAnsi="Segoe UI" w:cs="Segoe UI"/>
          <w:color w:val="333333"/>
          <w:sz w:val="21"/>
          <w:szCs w:val="21"/>
        </w:rPr>
        <w:t>　</w:t>
      </w:r>
      <w:r>
        <w:rPr>
          <w:rFonts w:hint="eastAsia" w:ascii="黑体" w:hAnsi="Calibri" w:eastAsia="黑体" w:cs="黑体"/>
          <w:kern w:val="2"/>
          <w:sz w:val="32"/>
          <w:szCs w:val="32"/>
          <w:lang w:val="en-US" w:eastAsia="zh-CN" w:bidi="ar-SA"/>
        </w:rPr>
        <w:t xml:space="preserve">　一、主要职责 </w:t>
      </w:r>
    </w:p>
    <w:p>
      <w:pPr>
        <w:pStyle w:val="4"/>
        <w:spacing w:line="560" w:lineRule="exact"/>
        <w:ind w:firstLine="643" w:firstLineChars="200"/>
        <w:rPr>
          <w:rFonts w:hint="eastAsia" w:ascii="仿宋_GB2312" w:eastAsia="仿宋_GB2312"/>
          <w:sz w:val="32"/>
          <w:szCs w:val="32"/>
        </w:rPr>
      </w:pPr>
      <w:r>
        <w:rPr>
          <w:rFonts w:hint="eastAsia" w:ascii="仿宋_GB2312" w:hAnsi="Calibri" w:eastAsia="仿宋_GB2312" w:cs="黑体"/>
          <w:kern w:val="2"/>
          <w:sz w:val="32"/>
          <w:szCs w:val="32"/>
          <w:lang w:val="en-US" w:eastAsia="zh-CN" w:bidi="ar-SA"/>
        </w:rPr>
        <w:t>　　</w:t>
      </w:r>
      <w:r>
        <w:rPr>
          <w:rFonts w:hint="eastAsia" w:ascii="仿宋_GB2312" w:eastAsia="仿宋_GB2312"/>
          <w:b/>
          <w:bCs/>
          <w:sz w:val="32"/>
          <w:szCs w:val="32"/>
        </w:rPr>
        <w:t>丹东市振兴区人民检察院的主要职责：</w:t>
      </w:r>
      <w:r>
        <w:rPr>
          <w:rFonts w:hint="eastAsia" w:ascii="仿宋_GB2312" w:eastAsia="仿宋_GB2312"/>
          <w:sz w:val="32"/>
          <w:szCs w:val="32"/>
        </w:rPr>
        <w:t>人民检察院按照法律规定和业务分工设置内部机构，分别承办侦查、审查逮捕、审查起诉等检察工作。</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bCs/>
          <w:sz w:val="32"/>
          <w:szCs w:val="32"/>
        </w:rPr>
        <w:t>1、控告申诉检察部门、举报中心</w:t>
      </w:r>
      <w:r>
        <w:rPr>
          <w:rFonts w:hint="eastAsia" w:ascii="仿宋_GB2312" w:eastAsia="仿宋_GB2312"/>
          <w:sz w:val="32"/>
          <w:szCs w:val="32"/>
        </w:rPr>
        <w:t>负责受理公民和国家机关、团体、企事业单位以及其他人士检举、控告国家工作人员涉嫌贪污、贿赂、渎职等职务犯罪行为，并向举报人反馈查处情况及结果；接受犯罪人的自首；受理刑事、民事、行政申诉案件的申诉。负责办理不服人民检察院不批准逮捕、不起诉、撤销案件及其他处理决定的申诉；办理不服人民法院已经发生法律效力的刑事判决、裁定（含刑事附带民事判决、裁定）的申诉；办理人民检察院负责赔偿义务的刑事赔偿案件工作。</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bCs/>
          <w:sz w:val="32"/>
          <w:szCs w:val="32"/>
        </w:rPr>
        <w:t>2、反贪污贿赂部门</w:t>
      </w:r>
      <w:r>
        <w:rPr>
          <w:rFonts w:hint="eastAsia" w:ascii="仿宋_GB2312" w:eastAsia="仿宋_GB2312"/>
          <w:sz w:val="32"/>
          <w:szCs w:val="32"/>
        </w:rPr>
        <w:t>负责对国家工作人员涉嫌贪污、贿赂、挪用公款等职务犯罪行为进行立案侦查等工作。</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bCs/>
          <w:sz w:val="32"/>
          <w:szCs w:val="32"/>
        </w:rPr>
        <w:t>3、反渎职侵权部门</w:t>
      </w:r>
      <w:r>
        <w:rPr>
          <w:rFonts w:hint="eastAsia" w:ascii="仿宋_GB2312" w:eastAsia="仿宋_GB2312"/>
          <w:sz w:val="32"/>
          <w:szCs w:val="32"/>
        </w:rPr>
        <w:t>负责对国家机关工作人员涉嫌渎职犯罪行为和利用职权实施的非法拘禁、刑讯逼供、报复陷害、非法搜查、暴力取证、破坏选举等犯罪案件进行立案侦查等工作。</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bCs/>
          <w:sz w:val="32"/>
          <w:szCs w:val="32"/>
        </w:rPr>
        <w:t>4、侦查监督部门</w:t>
      </w:r>
      <w:r>
        <w:rPr>
          <w:rFonts w:hint="eastAsia" w:ascii="仿宋_GB2312" w:eastAsia="仿宋_GB2312"/>
          <w:sz w:val="32"/>
          <w:szCs w:val="32"/>
        </w:rPr>
        <w:t>负责对刑事案件犯罪嫌疑人的审查批准逮捕、决定逮捕；负责刑事立案监督和侦查活动监督工作。</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bCs/>
          <w:sz w:val="32"/>
          <w:szCs w:val="32"/>
        </w:rPr>
        <w:t>5、公诉部门</w:t>
      </w:r>
      <w:r>
        <w:rPr>
          <w:rFonts w:hint="eastAsia" w:ascii="仿宋_GB2312" w:eastAsia="仿宋_GB2312"/>
          <w:sz w:val="32"/>
          <w:szCs w:val="32"/>
        </w:rPr>
        <w:t>负责对公安机关、国家安全机关、走私犯罪侦查机关等侦查机关和人民检察院自侦部门移送起诉或不起诉的案件进行审查，并决定是否提起公诉或不起诉；对侦查活动是否合法进行监督；出席法庭支持公诉；对人民法院的审判活动实行监督；对人民法院确有错误的刑事判决、裁定提出抗诉等工作。</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bCs/>
          <w:sz w:val="32"/>
          <w:szCs w:val="32"/>
        </w:rPr>
        <w:t>6、监所检察部门</w:t>
      </w:r>
      <w:r>
        <w:rPr>
          <w:rFonts w:hint="eastAsia" w:ascii="仿宋_GB2312" w:eastAsia="仿宋_GB2312"/>
          <w:sz w:val="32"/>
          <w:szCs w:val="32"/>
        </w:rPr>
        <w:t>负责对刑事判决、裁定的执行和监管活动进行监督；受理被监管人员及其亲属直接提出的控告和举报；对刑罚执行和监管活动中的司法人员职务犯罪案件进行立案侦查；对服刑罪犯又犯罪案件和劳教人员犯罪案件立案监督、审查逮捕、审查起诉；对看守所超期羁押犯罪嫌疑人、被告人的情况进行监督等工作。</w:t>
      </w:r>
    </w:p>
    <w:p>
      <w:pPr>
        <w:pStyle w:val="4"/>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7、民事行政检察部门</w:t>
      </w:r>
      <w:r>
        <w:rPr>
          <w:rFonts w:hint="eastAsia" w:ascii="仿宋_GB2312" w:eastAsia="仿宋_GB2312"/>
          <w:sz w:val="32"/>
          <w:szCs w:val="32"/>
        </w:rPr>
        <w:t>（1）对符合抗诉条件的下级人民法院的民事、行政案件生效判决、裁定，向同级人民法院提出抗诉。（2）对符合抗诉条件的同级人民法院的民事、行政案件生效判决、裁定，提请上级人民检察院抗诉。（3）对民事、行政案件生效的裁定、调解存在错误且依法不能抗诉的，可以向人民法院发出检察建议；对有关国家机关或企事业单位存在制度隐患或其工作人员严重违背职责，应当追究其纪律责任的，可以向其提出检察建议。（4）在办理民事行政审判、执行活动中发现的贪污受贿、徇私舞弊、枉法裁判等职务犯罪案件进行初查或侦查。</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bCs/>
          <w:sz w:val="32"/>
          <w:szCs w:val="32"/>
        </w:rPr>
        <w:t>8、职务犯罪预防部门</w:t>
      </w:r>
      <w:r>
        <w:rPr>
          <w:rFonts w:hint="eastAsia" w:ascii="仿宋_GB2312" w:eastAsia="仿宋_GB2312"/>
          <w:sz w:val="32"/>
          <w:szCs w:val="32"/>
        </w:rPr>
        <w:t>负责研究分析典型职务犯罪的特点、规律，提出防范对策，并协助有关单位落实；开展预防咨询和警示教育；管理检察机关行贿犯罪档案系统并受理查询等工作。</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bCs/>
          <w:sz w:val="32"/>
          <w:szCs w:val="32"/>
        </w:rPr>
        <w:t>9、检察技术部门</w:t>
      </w:r>
      <w:r>
        <w:rPr>
          <w:rFonts w:hint="eastAsia" w:ascii="仿宋_GB2312" w:eastAsia="仿宋_GB2312"/>
          <w:sz w:val="32"/>
          <w:szCs w:val="32"/>
        </w:rPr>
        <w:t>承办检察机关自侦案件的现场进行勘验，收集、固定和提取与案件有关的各种痕迹、物证并进行科学鉴定，对有关业务部门办理案件时涉及的技术性证据进行审查并提出审查意见。承办检察机关信息化建设、应用和管理等工作。</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bCs/>
          <w:sz w:val="32"/>
          <w:szCs w:val="32"/>
        </w:rPr>
        <w:t>10、纪检监察部门</w:t>
      </w:r>
      <w:r>
        <w:rPr>
          <w:rFonts w:hint="eastAsia" w:ascii="仿宋_GB2312" w:eastAsia="仿宋_GB2312"/>
          <w:sz w:val="32"/>
          <w:szCs w:val="32"/>
        </w:rPr>
        <w:t>负责指导检察机关纪检、监察工作；对检察机关及其工作人员贯彻执行法律、法规和上级决定、规定的情况进行监督；受理对检察机关及其工作人员违反纪律、法律行为的控告、检举，并按照管理权限进行查处；受理检察人员不服处分决定的申诉；制定检察机关廉政建设制度，组织开展廉政纪律教育和执法执纪大检查活动。</w:t>
      </w:r>
    </w:p>
    <w:p>
      <w:pPr>
        <w:pStyle w:val="4"/>
        <w:widowControl/>
        <w:wordWrap/>
        <w:adjustRightInd/>
        <w:snapToGrid/>
        <w:spacing w:after="150" w:line="240" w:lineRule="auto"/>
        <w:ind w:left="0" w:leftChars="0" w:right="0" w:firstLine="0" w:firstLineChars="0"/>
        <w:jc w:val="left"/>
        <w:textAlignment w:val="auto"/>
        <w:outlineLvl w:val="9"/>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 xml:space="preserve"> </w:t>
      </w:r>
    </w:p>
    <w:p>
      <w:pPr>
        <w:pStyle w:val="4"/>
        <w:rPr>
          <w:rFonts w:ascii="Segoe UI" w:hAnsi="Segoe UI" w:cs="Segoe UI"/>
          <w:color w:val="333333"/>
          <w:sz w:val="21"/>
          <w:szCs w:val="21"/>
        </w:rPr>
      </w:pPr>
      <w:r>
        <w:rPr>
          <w:rFonts w:ascii="Segoe UI" w:hAnsi="Segoe UI" w:cs="Segoe UI"/>
          <w:color w:val="333333"/>
          <w:sz w:val="21"/>
          <w:szCs w:val="21"/>
        </w:rPr>
        <w:t>　</w:t>
      </w:r>
      <w:r>
        <w:rPr>
          <w:rFonts w:hint="eastAsia" w:ascii="黑体" w:hAnsi="Calibri" w:eastAsia="黑体" w:cs="黑体"/>
          <w:kern w:val="2"/>
          <w:sz w:val="32"/>
          <w:szCs w:val="32"/>
          <w:lang w:val="en-US" w:eastAsia="zh-CN" w:bidi="ar-SA"/>
        </w:rPr>
        <w:t xml:space="preserve">　二、部门预算单位构成 </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我院部门决算单位构成</w:t>
      </w:r>
      <w:r>
        <w:rPr>
          <w:rFonts w:hint="eastAsia" w:ascii="仿宋_GB2312" w:eastAsia="仿宋_GB2312"/>
          <w:sz w:val="32"/>
          <w:szCs w:val="32"/>
          <w:lang w:eastAsia="zh-CN"/>
        </w:rPr>
        <w:t>：</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丹东市振兴区人民检察院</w:t>
      </w:r>
    </w:p>
    <w:p>
      <w:pPr>
        <w:numPr>
          <w:numId w:val="0"/>
        </w:numPr>
        <w:spacing w:line="560" w:lineRule="exact"/>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丹东市振兴区人民检察院职工教育培训基地构成。</w:t>
      </w:r>
    </w:p>
    <w:p>
      <w:pPr>
        <w:pStyle w:val="4"/>
        <w:widowControl/>
        <w:numPr>
          <w:ilvl w:val="0"/>
          <w:numId w:val="0"/>
        </w:numPr>
        <w:wordWrap/>
        <w:adjustRightInd/>
        <w:snapToGrid/>
        <w:spacing w:after="150" w:line="240" w:lineRule="auto"/>
        <w:ind w:leftChars="200" w:right="0"/>
        <w:jc w:val="left"/>
        <w:textAlignment w:val="auto"/>
        <w:outlineLvl w:val="9"/>
        <w:rPr>
          <w:rFonts w:hint="eastAsia" w:ascii="宋体" w:hAnsi="宋体" w:eastAsia="宋体" w:cs="黑体"/>
          <w:b/>
          <w:kern w:val="2"/>
          <w:sz w:val="36"/>
          <w:szCs w:val="36"/>
          <w:lang w:val="en-US" w:eastAsia="zh-CN" w:bidi="ar-SA"/>
        </w:rPr>
      </w:pPr>
    </w:p>
    <w:p>
      <w:pPr>
        <w:pStyle w:val="4"/>
        <w:jc w:val="center"/>
        <w:rPr>
          <w:rFonts w:hint="eastAsia" w:ascii="宋体" w:hAnsi="宋体" w:eastAsia="宋体" w:cs="黑体"/>
          <w:b/>
          <w:kern w:val="2"/>
          <w:sz w:val="36"/>
          <w:szCs w:val="36"/>
          <w:lang w:val="en-US" w:eastAsia="zh-CN" w:bidi="ar-SA"/>
        </w:rPr>
      </w:pPr>
      <w:r>
        <w:rPr>
          <w:rFonts w:hint="eastAsia" w:ascii="宋体" w:hAnsi="宋体" w:eastAsia="宋体" w:cs="黑体"/>
          <w:b/>
          <w:kern w:val="2"/>
          <w:sz w:val="36"/>
          <w:szCs w:val="36"/>
          <w:lang w:val="en-US" w:eastAsia="zh-CN" w:bidi="ar-SA"/>
        </w:rPr>
        <w:t>第二部分 丹东市政府办</w:t>
      </w:r>
      <w:r>
        <w:rPr>
          <w:rFonts w:hint="eastAsia" w:eastAsia="宋体" w:cs="黑体"/>
          <w:b/>
          <w:kern w:val="2"/>
          <w:sz w:val="36"/>
          <w:szCs w:val="36"/>
          <w:lang w:val="en-US" w:eastAsia="zh-CN" w:bidi="ar-SA"/>
        </w:rPr>
        <w:t>2017年度</w:t>
      </w:r>
      <w:r>
        <w:rPr>
          <w:rFonts w:hint="eastAsia" w:ascii="宋体" w:hAnsi="宋体" w:eastAsia="宋体" w:cs="黑体"/>
          <w:b/>
          <w:kern w:val="2"/>
          <w:sz w:val="36"/>
          <w:szCs w:val="36"/>
          <w:lang w:val="en-US" w:eastAsia="zh-CN" w:bidi="ar-SA"/>
        </w:rPr>
        <w:t>部门</w:t>
      </w:r>
      <w:r>
        <w:rPr>
          <w:rFonts w:hint="eastAsia" w:eastAsia="宋体" w:cs="黑体"/>
          <w:b/>
          <w:kern w:val="2"/>
          <w:sz w:val="36"/>
          <w:szCs w:val="36"/>
          <w:lang w:val="en-US" w:eastAsia="zh-CN" w:bidi="ar-SA"/>
        </w:rPr>
        <w:t>预算公开</w:t>
      </w:r>
      <w:r>
        <w:rPr>
          <w:rFonts w:hint="eastAsia" w:ascii="宋体" w:hAnsi="宋体" w:eastAsia="宋体" w:cs="黑体"/>
          <w:b/>
          <w:kern w:val="2"/>
          <w:sz w:val="36"/>
          <w:szCs w:val="36"/>
          <w:lang w:val="en-US" w:eastAsia="zh-CN" w:bidi="ar-SA"/>
        </w:rPr>
        <w:t>表</w:t>
      </w:r>
    </w:p>
    <w:p>
      <w:pPr>
        <w:pStyle w:val="4"/>
        <w:widowControl/>
        <w:wordWrap/>
        <w:adjustRightInd/>
        <w:snapToGrid/>
        <w:spacing w:after="150" w:line="240" w:lineRule="auto"/>
        <w:ind w:right="0"/>
        <w:jc w:val="left"/>
        <w:textAlignment w:val="auto"/>
        <w:outlineLvl w:val="9"/>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 xml:space="preserve">  详见附件：丹东市振兴区人民检察院2017年度部门预算公开表 </w:t>
      </w:r>
    </w:p>
    <w:p>
      <w:pPr>
        <w:pStyle w:val="4"/>
        <w:rPr>
          <w:rFonts w:hint="eastAsia" w:ascii="宋体" w:hAnsi="宋体" w:eastAsia="宋体" w:cs="黑体"/>
          <w:b/>
          <w:kern w:val="2"/>
          <w:sz w:val="36"/>
          <w:szCs w:val="36"/>
          <w:lang w:val="en-US" w:eastAsia="zh-CN" w:bidi="ar-SA"/>
        </w:rPr>
      </w:pPr>
      <w:r>
        <w:rPr>
          <w:rFonts w:hint="eastAsia" w:cs="黑体"/>
          <w:b/>
          <w:kern w:val="2"/>
          <w:sz w:val="36"/>
          <w:szCs w:val="36"/>
          <w:lang w:val="en-US" w:eastAsia="zh-CN" w:bidi="ar-SA"/>
        </w:rPr>
        <w:t xml:space="preserve"> </w:t>
      </w:r>
      <w:r>
        <w:rPr>
          <w:rFonts w:hint="eastAsia" w:ascii="宋体" w:hAnsi="宋体" w:eastAsia="宋体" w:cs="黑体"/>
          <w:b/>
          <w:kern w:val="2"/>
          <w:sz w:val="36"/>
          <w:szCs w:val="36"/>
          <w:lang w:val="en-US" w:eastAsia="zh-CN" w:bidi="ar-SA"/>
        </w:rPr>
        <w:t>第三部分 丹东市</w:t>
      </w:r>
      <w:r>
        <w:rPr>
          <w:rFonts w:hint="eastAsia" w:cs="黑体"/>
          <w:b/>
          <w:kern w:val="2"/>
          <w:sz w:val="36"/>
          <w:szCs w:val="36"/>
          <w:lang w:val="en-US" w:eastAsia="zh-CN" w:bidi="ar-SA"/>
        </w:rPr>
        <w:t>振兴区人民检察院</w:t>
      </w:r>
      <w:r>
        <w:rPr>
          <w:rFonts w:hint="eastAsia" w:ascii="宋体" w:hAnsi="宋体" w:eastAsia="宋体" w:cs="黑体"/>
          <w:b/>
          <w:kern w:val="2"/>
          <w:sz w:val="36"/>
          <w:szCs w:val="36"/>
          <w:lang w:val="en-US" w:eastAsia="zh-CN" w:bidi="ar-SA"/>
        </w:rPr>
        <w:t>201</w:t>
      </w:r>
      <w:r>
        <w:rPr>
          <w:rFonts w:hint="eastAsia" w:eastAsia="宋体" w:cs="黑体"/>
          <w:b/>
          <w:kern w:val="2"/>
          <w:sz w:val="36"/>
          <w:szCs w:val="36"/>
          <w:lang w:val="en-US" w:eastAsia="zh-CN" w:bidi="ar-SA"/>
        </w:rPr>
        <w:t>7</w:t>
      </w:r>
      <w:r>
        <w:rPr>
          <w:rFonts w:hint="eastAsia" w:ascii="宋体" w:hAnsi="宋体" w:eastAsia="宋体" w:cs="黑体"/>
          <w:b/>
          <w:kern w:val="2"/>
          <w:sz w:val="36"/>
          <w:szCs w:val="36"/>
          <w:lang w:val="en-US" w:eastAsia="zh-CN" w:bidi="ar-SA"/>
        </w:rPr>
        <w:t>年度部门</w:t>
      </w:r>
      <w:r>
        <w:rPr>
          <w:rFonts w:hint="eastAsia" w:eastAsia="宋体" w:cs="黑体"/>
          <w:b/>
          <w:kern w:val="2"/>
          <w:sz w:val="36"/>
          <w:szCs w:val="36"/>
          <w:lang w:val="en-US" w:eastAsia="zh-CN" w:bidi="ar-SA"/>
        </w:rPr>
        <w:t>预算</w:t>
      </w:r>
      <w:r>
        <w:rPr>
          <w:rFonts w:hint="eastAsia" w:ascii="宋体" w:hAnsi="宋体" w:eastAsia="宋体" w:cs="黑体"/>
          <w:b/>
          <w:kern w:val="2"/>
          <w:sz w:val="36"/>
          <w:szCs w:val="36"/>
          <w:lang w:val="en-US" w:eastAsia="zh-CN" w:bidi="ar-SA"/>
        </w:rPr>
        <w:t xml:space="preserve">情况说明 </w:t>
      </w:r>
    </w:p>
    <w:p>
      <w:pPr>
        <w:numPr>
          <w:ilvl w:val="0"/>
          <w:numId w:val="2"/>
        </w:num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lang w:eastAsia="zh-CN"/>
        </w:rPr>
        <w:t>收入支出预算总体情况</w:t>
      </w:r>
    </w:p>
    <w:p>
      <w:pPr>
        <w:widowControl/>
        <w:wordWrap/>
        <w:adjustRightInd/>
        <w:snapToGrid/>
        <w:spacing w:before="100" w:beforeAutospacing="1" w:after="100" w:afterAutospacing="1" w:line="560" w:lineRule="atLeast"/>
        <w:ind w:left="0" w:leftChars="0" w:right="0" w:firstLine="640" w:firstLineChars="200"/>
        <w:jc w:val="left"/>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按《预算法》等有关法律制度要求，丹东市振兴区人民检察院所有收入和支出均纳入部门预算管理。丹东市振兴区人民检察院2017年度收支总预算为1428.3万元。</w:t>
      </w:r>
    </w:p>
    <w:p>
      <w:pPr>
        <w:numPr>
          <w:ilvl w:val="0"/>
          <w:numId w:val="2"/>
        </w:numPr>
        <w:spacing w:line="540" w:lineRule="exact"/>
        <w:ind w:firstLine="627" w:firstLineChars="196"/>
        <w:rPr>
          <w:rFonts w:hint="eastAsia" w:ascii="黑体" w:hAnsi="黑体" w:eastAsia="黑体"/>
          <w:sz w:val="32"/>
          <w:szCs w:val="32"/>
          <w:lang w:val="en-US" w:eastAsia="zh-CN"/>
        </w:rPr>
      </w:pPr>
      <w:r>
        <w:rPr>
          <w:rFonts w:hint="eastAsia" w:ascii="黑体" w:hAnsi="黑体" w:eastAsia="黑体"/>
          <w:sz w:val="32"/>
          <w:szCs w:val="32"/>
          <w:lang w:val="en-US" w:eastAsia="zh-CN"/>
        </w:rPr>
        <w:t>收入预算情况</w:t>
      </w:r>
    </w:p>
    <w:p>
      <w:pPr>
        <w:widowControl/>
        <w:wordWrap/>
        <w:adjustRightInd/>
        <w:snapToGrid/>
        <w:spacing w:before="100" w:beforeAutospacing="1" w:after="100" w:afterAutospacing="1" w:line="560" w:lineRule="atLeast"/>
        <w:ind w:left="0" w:leftChars="0" w:right="0" w:firstLine="640" w:firstLineChars="200"/>
        <w:jc w:val="left"/>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2017年度丹东市振兴区人民检察院预算总收入为1428.3万元。其中财政拨款收入1228.3万元,罚没收入200万元。</w:t>
      </w:r>
    </w:p>
    <w:p>
      <w:pPr>
        <w:numPr>
          <w:ilvl w:val="0"/>
          <w:numId w:val="2"/>
        </w:numPr>
        <w:spacing w:line="540" w:lineRule="exact"/>
        <w:ind w:firstLine="627" w:firstLineChars="196"/>
        <w:rPr>
          <w:rFonts w:hint="eastAsia" w:ascii="黑体" w:hAnsi="黑体" w:eastAsia="黑体"/>
          <w:sz w:val="32"/>
          <w:szCs w:val="32"/>
          <w:lang w:val="en-US" w:eastAsia="zh-CN"/>
        </w:rPr>
      </w:pPr>
      <w:r>
        <w:rPr>
          <w:rFonts w:hint="eastAsia" w:ascii="黑体" w:hAnsi="黑体" w:eastAsia="黑体"/>
          <w:sz w:val="32"/>
          <w:szCs w:val="32"/>
          <w:lang w:val="en-US" w:eastAsia="zh-CN"/>
        </w:rPr>
        <w:t>支出预算情况</w:t>
      </w:r>
    </w:p>
    <w:p>
      <w:pPr>
        <w:widowControl/>
        <w:spacing w:before="0" w:beforeAutospacing="1" w:after="0" w:afterAutospacing="1" w:line="560" w:lineRule="atLeast"/>
        <w:ind w:left="0" w:right="0" w:firstLine="640"/>
        <w:jc w:val="left"/>
        <w:rPr>
          <w:rFonts w:hint="eastAsia" w:ascii="仿宋_GB2312" w:hAnsi="Calibri" w:eastAsia="仿宋_GB2312" w:cs="黑体"/>
          <w:kern w:val="2"/>
          <w:sz w:val="32"/>
          <w:szCs w:val="32"/>
          <w:highlight w:val="yellow"/>
          <w:lang w:val="en-US" w:eastAsia="zh-CN" w:bidi="ar-SA"/>
        </w:rPr>
      </w:pPr>
      <w:r>
        <w:rPr>
          <w:rFonts w:hint="eastAsia" w:ascii="仿宋_GB2312" w:hAnsi="宋体" w:eastAsia="仿宋_GB2312" w:cs="宋体"/>
          <w:color w:val="000000"/>
          <w:kern w:val="0"/>
          <w:sz w:val="32"/>
          <w:szCs w:val="32"/>
          <w:lang w:val="en-US" w:eastAsia="zh-CN"/>
        </w:rPr>
        <w:t>2017年度丹东市振兴区人民检察院预算总支出为1428.3万元。包括基本支出1383.3万元，项目支出45万元。基本支出包括：工资福利支出775.03万元，反映单位开支的在职职工和编制外长期聘用人员的各类劳动报酬，以及为上述人员缴纳的各项社会保险费等，主要包括基本工资、津贴补贴、奖金、绩效工资、社会保险缴费、其他工资福利等。商品服务支出410.88万元，反映单位购买商品和服务的支出，主要包括办公费、印刷费、水电费、邮电费、办公用房取暖费、物业管理费、差旅费、维修（护）费、租赁费、会议费、培训费、公务用车运行维护费、其他交通费、其他商品和服务支出等。对个人和家庭的补助支出197.39万元，反映政府对个人和家庭的补助支出，主要包括离休费、退休费、抚恤金、救济费、住房公积金等。项目支出45万元，用于在基本支出之外为完成特定行政任务和事业发展目标所发生的支出。全年收支平衡。</w:t>
      </w:r>
    </w:p>
    <w:p>
      <w:pPr>
        <w:numPr>
          <w:ilvl w:val="0"/>
          <w:numId w:val="2"/>
        </w:numPr>
        <w:spacing w:line="540" w:lineRule="exact"/>
        <w:ind w:firstLine="627" w:firstLineChars="196"/>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“三公”经费支出预算情况 </w:t>
      </w:r>
    </w:p>
    <w:p>
      <w:pPr>
        <w:widowControl/>
        <w:spacing w:before="0" w:beforeAutospacing="1" w:after="0" w:afterAutospacing="1" w:line="560" w:lineRule="atLeast"/>
        <w:ind w:left="0" w:right="0" w:firstLine="640"/>
        <w:jc w:val="left"/>
        <w:rPr>
          <w:rFonts w:hint="eastAsia" w:ascii="宋体" w:hAnsi="宋体" w:eastAsia="宋体" w:cs="黑体"/>
          <w:b/>
          <w:kern w:val="2"/>
          <w:sz w:val="36"/>
          <w:szCs w:val="36"/>
          <w:lang w:val="en-US" w:eastAsia="zh-CN" w:bidi="ar-SA"/>
        </w:rPr>
      </w:pPr>
      <w:r>
        <w:rPr>
          <w:rFonts w:hint="eastAsia" w:ascii="仿宋_GB2312" w:hAnsi="宋体" w:eastAsia="仿宋_GB2312" w:cs="宋体"/>
          <w:color w:val="000000"/>
          <w:kern w:val="0"/>
          <w:sz w:val="32"/>
          <w:szCs w:val="32"/>
          <w:lang w:val="en-US" w:eastAsia="zh-CN"/>
        </w:rPr>
        <w:t>2017年丹东市振兴区人民检察院“三公”经费总预算40.01万元，其中：公务用车运行38.01万元，公务接待费2.00万元。“三公”经费支出预算总数较2016年度预算公开数减少40万元（详见第二部分），2017年丹东市振兴区人民检察院将继续认真执行中央“八项规定”、省委“十项规定”等要求及公务用车改革政策，严格控制经费支出。</w:t>
      </w:r>
    </w:p>
    <w:p>
      <w:pPr>
        <w:pStyle w:val="4"/>
        <w:ind w:firstLine="420" w:firstLineChars="200"/>
        <w:rPr>
          <w:rFonts w:hint="eastAsia" w:ascii="宋体" w:hAnsi="宋体" w:eastAsia="宋体" w:cs="黑体"/>
          <w:b/>
          <w:kern w:val="2"/>
          <w:sz w:val="36"/>
          <w:szCs w:val="36"/>
          <w:lang w:val="en-US" w:eastAsia="zh-CN" w:bidi="ar-SA"/>
        </w:rPr>
      </w:pPr>
      <w:r>
        <w:rPr>
          <w:rFonts w:hint="eastAsia" w:ascii="宋体" w:hAnsi="宋体" w:eastAsia="宋体" w:cs="黑体"/>
          <w:b/>
          <w:kern w:val="2"/>
          <w:sz w:val="36"/>
          <w:szCs w:val="36"/>
          <w:lang w:val="en-US" w:eastAsia="zh-CN" w:bidi="ar-SA"/>
        </w:rPr>
        <w:t xml:space="preserve">第四部分 名词解释 </w:t>
      </w:r>
    </w:p>
    <w:p>
      <w:pPr>
        <w:pStyle w:val="4"/>
        <w:ind w:firstLine="420"/>
        <w:rPr>
          <w:rFonts w:hint="eastAsia" w:ascii="仿宋_GB2312" w:hAnsi="Calibri" w:eastAsia="仿宋_GB2312" w:cs="黑体"/>
          <w:kern w:val="2"/>
          <w:sz w:val="32"/>
          <w:szCs w:val="32"/>
          <w:lang w:val="en-US" w:eastAsia="zh-CN" w:bidi="ar-SA"/>
        </w:rPr>
      </w:pPr>
      <w:r>
        <w:rPr>
          <w:rFonts w:hint="eastAsia" w:ascii="仿宋_GB2312" w:hAnsi="Calibri" w:eastAsia="仿宋_GB2312" w:cs="黑体"/>
          <w:b/>
          <w:kern w:val="2"/>
          <w:sz w:val="32"/>
          <w:szCs w:val="32"/>
          <w:lang w:val="en-US" w:eastAsia="zh-CN" w:bidi="ar-SA"/>
        </w:rPr>
        <w:t>1.财政拨款收入：</w:t>
      </w:r>
      <w:r>
        <w:rPr>
          <w:rFonts w:hint="eastAsia" w:ascii="仿宋_GB2312" w:hAnsi="Calibri" w:eastAsia="仿宋_GB2312" w:cs="黑体"/>
          <w:kern w:val="2"/>
          <w:sz w:val="32"/>
          <w:szCs w:val="32"/>
          <w:lang w:val="en-US" w:eastAsia="zh-CN" w:bidi="ar-SA"/>
        </w:rPr>
        <w:t xml:space="preserve">指市级财政当年拨付的资金。 </w:t>
      </w:r>
    </w:p>
    <w:p>
      <w:pPr>
        <w:pStyle w:val="4"/>
        <w:ind w:firstLine="420"/>
        <w:rPr>
          <w:rFonts w:hint="eastAsia" w:ascii="仿宋_GB2312" w:hAnsi="Calibri" w:eastAsia="仿宋_GB2312" w:cs="黑体"/>
          <w:kern w:val="2"/>
          <w:sz w:val="32"/>
          <w:szCs w:val="32"/>
          <w:lang w:val="en-US" w:eastAsia="zh-CN" w:bidi="ar-SA"/>
        </w:rPr>
      </w:pPr>
      <w:r>
        <w:rPr>
          <w:rFonts w:hint="eastAsia" w:ascii="仿宋_GB2312" w:hAnsi="Calibri" w:eastAsia="仿宋_GB2312" w:cs="黑体"/>
          <w:b/>
          <w:kern w:val="2"/>
          <w:sz w:val="32"/>
          <w:szCs w:val="32"/>
          <w:lang w:val="en-US" w:eastAsia="zh-CN" w:bidi="ar-SA"/>
        </w:rPr>
        <w:t>2.上年结转和结余：</w:t>
      </w:r>
      <w:r>
        <w:rPr>
          <w:rFonts w:hint="eastAsia" w:ascii="仿宋_GB2312" w:hAnsi="Calibri" w:eastAsia="仿宋_GB2312" w:cs="黑体"/>
          <w:kern w:val="2"/>
          <w:sz w:val="32"/>
          <w:szCs w:val="32"/>
          <w:lang w:val="en-US" w:eastAsia="zh-CN" w:bidi="ar-SA"/>
        </w:rPr>
        <w:t>指以前年度尚未完成、结转到本年按有关规定继续使用的资金。</w:t>
      </w:r>
    </w:p>
    <w:p>
      <w:pPr>
        <w:pStyle w:val="4"/>
        <w:rPr>
          <w:rFonts w:hint="eastAsia" w:ascii="仿宋_GB2312" w:hAnsi="Calibri" w:eastAsia="仿宋_GB2312" w:cs="黑体"/>
          <w:kern w:val="2"/>
          <w:sz w:val="32"/>
          <w:szCs w:val="32"/>
          <w:lang w:val="en-US" w:eastAsia="zh-CN" w:bidi="ar-SA"/>
        </w:rPr>
      </w:pPr>
      <w:r>
        <w:rPr>
          <w:rFonts w:ascii="Segoe UI" w:hAnsi="Segoe UI" w:cs="Segoe UI"/>
          <w:color w:val="333333"/>
          <w:sz w:val="21"/>
          <w:szCs w:val="21"/>
        </w:rPr>
        <w:t>　　</w:t>
      </w:r>
      <w:r>
        <w:rPr>
          <w:rFonts w:hint="eastAsia" w:ascii="仿宋_GB2312" w:hAnsi="Calibri" w:eastAsia="仿宋_GB2312" w:cs="黑体"/>
          <w:b/>
          <w:kern w:val="2"/>
          <w:sz w:val="32"/>
          <w:szCs w:val="32"/>
          <w:lang w:val="en-US" w:eastAsia="zh-CN" w:bidi="ar-SA"/>
        </w:rPr>
        <w:t>3.基本支出：</w:t>
      </w:r>
      <w:r>
        <w:rPr>
          <w:rFonts w:hint="eastAsia" w:ascii="仿宋_GB2312" w:hAnsi="Calibri" w:eastAsia="仿宋_GB2312" w:cs="黑体"/>
          <w:kern w:val="2"/>
          <w:sz w:val="32"/>
          <w:szCs w:val="32"/>
          <w:lang w:val="en-US" w:eastAsia="zh-CN" w:bidi="ar-SA"/>
        </w:rPr>
        <w:t xml:space="preserve">指保障机构正常运转、完成日常工作任务而发生的人员支出和公用支出。 </w:t>
      </w:r>
    </w:p>
    <w:p>
      <w:pPr>
        <w:pStyle w:val="4"/>
        <w:rPr>
          <w:rFonts w:hint="eastAsia" w:ascii="仿宋_GB2312" w:hAnsi="Calibri" w:eastAsia="仿宋_GB2312" w:cs="黑体"/>
          <w:kern w:val="2"/>
          <w:sz w:val="32"/>
          <w:szCs w:val="32"/>
          <w:lang w:val="en-US" w:eastAsia="zh-CN" w:bidi="ar-SA"/>
        </w:rPr>
      </w:pPr>
      <w:r>
        <w:rPr>
          <w:rFonts w:ascii="Segoe UI" w:hAnsi="Segoe UI" w:cs="Segoe UI"/>
          <w:color w:val="333333"/>
          <w:sz w:val="21"/>
          <w:szCs w:val="21"/>
        </w:rPr>
        <w:t>　　</w:t>
      </w:r>
      <w:r>
        <w:rPr>
          <w:rFonts w:hint="eastAsia" w:ascii="仿宋_GB2312" w:hAnsi="Calibri" w:eastAsia="仿宋_GB2312" w:cs="黑体"/>
          <w:b/>
          <w:kern w:val="2"/>
          <w:sz w:val="32"/>
          <w:szCs w:val="32"/>
          <w:lang w:val="en-US" w:eastAsia="zh-CN" w:bidi="ar-SA"/>
        </w:rPr>
        <w:t>4.项目支出：</w:t>
      </w:r>
      <w:r>
        <w:rPr>
          <w:rFonts w:hint="eastAsia" w:ascii="仿宋_GB2312" w:hAnsi="Calibri" w:eastAsia="仿宋_GB2312" w:cs="黑体"/>
          <w:kern w:val="2"/>
          <w:sz w:val="32"/>
          <w:szCs w:val="32"/>
          <w:lang w:val="en-US" w:eastAsia="zh-CN" w:bidi="ar-SA"/>
        </w:rPr>
        <w:t xml:space="preserve">指在基本支出之外为完成特定行政任务和事业发展目标所发生的支出。 </w:t>
      </w:r>
    </w:p>
    <w:p>
      <w:pPr>
        <w:pStyle w:val="4"/>
        <w:rPr>
          <w:rFonts w:hint="eastAsia" w:ascii="仿宋_GB2312" w:hAnsi="Calibri" w:eastAsia="仿宋_GB2312" w:cs="黑体"/>
          <w:kern w:val="2"/>
          <w:sz w:val="32"/>
          <w:szCs w:val="32"/>
          <w:lang w:val="en-US" w:eastAsia="zh-CN" w:bidi="ar-SA"/>
        </w:rPr>
      </w:pPr>
      <w:r>
        <w:rPr>
          <w:rFonts w:ascii="Segoe UI" w:hAnsi="Segoe UI" w:cs="Segoe UI"/>
          <w:color w:val="333333"/>
          <w:sz w:val="21"/>
          <w:szCs w:val="21"/>
        </w:rPr>
        <w:t>　</w:t>
      </w:r>
      <w:r>
        <w:rPr>
          <w:rFonts w:hint="eastAsia" w:ascii="仿宋_GB2312" w:hAnsi="Calibri" w:eastAsia="仿宋_GB2312" w:cs="黑体"/>
          <w:b/>
          <w:kern w:val="2"/>
          <w:sz w:val="32"/>
          <w:szCs w:val="32"/>
          <w:lang w:val="en-US" w:eastAsia="zh-CN" w:bidi="ar-SA"/>
        </w:rPr>
        <w:t>　5.“三公”经费：</w:t>
      </w:r>
      <w:r>
        <w:rPr>
          <w:rFonts w:hint="eastAsia" w:ascii="仿宋_GB2312" w:hAnsi="Calibri" w:eastAsia="仿宋_GB2312" w:cs="黑体"/>
          <w:kern w:val="2"/>
          <w:sz w:val="32"/>
          <w:szCs w:val="32"/>
          <w:lang w:val="en-US" w:eastAsia="zh-CN" w:bidi="ar-SA"/>
        </w:rPr>
        <w:t xml:space="preserve">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 </w:t>
      </w:r>
    </w:p>
    <w:p>
      <w:pPr>
        <w:pStyle w:val="4"/>
        <w:rPr>
          <w:rFonts w:hint="eastAsia" w:ascii="仿宋_GB2312" w:hAnsi="Calibri" w:eastAsia="仿宋_GB2312" w:cs="黑体"/>
          <w:kern w:val="2"/>
          <w:sz w:val="32"/>
          <w:szCs w:val="32"/>
          <w:lang w:val="en-US" w:eastAsia="zh-CN" w:bidi="ar-SA"/>
        </w:rPr>
      </w:pPr>
      <w:r>
        <w:rPr>
          <w:rFonts w:ascii="Segoe UI" w:hAnsi="Segoe UI" w:cs="Segoe UI"/>
          <w:color w:val="333333"/>
          <w:sz w:val="21"/>
          <w:szCs w:val="21"/>
        </w:rPr>
        <w:t>　　</w:t>
      </w:r>
      <w:r>
        <w:rPr>
          <w:rFonts w:hint="eastAsia" w:ascii="仿宋_GB2312" w:hAnsi="Calibri" w:eastAsia="仿宋_GB2312" w:cs="黑体"/>
          <w:b/>
          <w:kern w:val="2"/>
          <w:sz w:val="32"/>
          <w:szCs w:val="32"/>
          <w:lang w:val="en-US" w:eastAsia="zh-CN" w:bidi="ar-SA"/>
        </w:rPr>
        <w:t>6.一般公共服务(类)政府办公厅(室)及相关机构事务(款)行政运行(项)：</w:t>
      </w:r>
      <w:r>
        <w:rPr>
          <w:rFonts w:hint="eastAsia" w:ascii="仿宋_GB2312" w:hAnsi="Calibri" w:eastAsia="仿宋_GB2312" w:cs="黑体"/>
          <w:kern w:val="2"/>
          <w:sz w:val="32"/>
          <w:szCs w:val="32"/>
          <w:lang w:val="en-US" w:eastAsia="zh-CN" w:bidi="ar-SA"/>
        </w:rPr>
        <w:t xml:space="preserve">反映行政单位(包括实行公务员管理的事业单位)的基本支出。 </w:t>
      </w:r>
    </w:p>
    <w:p>
      <w:pPr>
        <w:pStyle w:val="4"/>
        <w:rPr>
          <w:rFonts w:hint="eastAsia" w:ascii="仿宋_GB2312" w:hAnsi="Calibri" w:eastAsia="仿宋_GB2312" w:cs="黑体"/>
          <w:kern w:val="2"/>
          <w:sz w:val="32"/>
          <w:szCs w:val="32"/>
          <w:lang w:val="en-US" w:eastAsia="zh-CN" w:bidi="ar-SA"/>
        </w:rPr>
      </w:pPr>
      <w:r>
        <w:rPr>
          <w:rFonts w:ascii="Segoe UI" w:hAnsi="Segoe UI" w:cs="Segoe UI"/>
          <w:color w:val="333333"/>
          <w:sz w:val="21"/>
          <w:szCs w:val="21"/>
        </w:rPr>
        <w:t>　</w:t>
      </w:r>
      <w:r>
        <w:rPr>
          <w:rFonts w:hint="eastAsia" w:ascii="仿宋_GB2312" w:hAnsi="Calibri" w:eastAsia="仿宋_GB2312" w:cs="黑体"/>
          <w:b/>
          <w:kern w:val="2"/>
          <w:sz w:val="32"/>
          <w:szCs w:val="32"/>
          <w:lang w:val="en-US" w:eastAsia="zh-CN" w:bidi="ar-SA"/>
        </w:rPr>
        <w:t>　7.一般公共服务(类)政府办公厅(室)及相关机构事务(款)一般行政管理事务(项)：</w:t>
      </w:r>
      <w:r>
        <w:rPr>
          <w:rFonts w:hint="eastAsia" w:ascii="仿宋_GB2312" w:hAnsi="Calibri" w:eastAsia="仿宋_GB2312" w:cs="黑体"/>
          <w:kern w:val="2"/>
          <w:sz w:val="32"/>
          <w:szCs w:val="32"/>
          <w:lang w:val="en-US" w:eastAsia="zh-CN" w:bidi="ar-SA"/>
        </w:rPr>
        <w:t xml:space="preserve">反映行政单位(包括实行公务员管理的事业单位)未单独设置项级科目的其他项目支出。 </w:t>
      </w:r>
    </w:p>
    <w:p>
      <w:pPr>
        <w:pStyle w:val="4"/>
        <w:rPr>
          <w:rFonts w:hint="eastAsia" w:ascii="仿宋_GB2312" w:hAnsi="Calibri" w:eastAsia="仿宋_GB2312" w:cs="黑体"/>
          <w:kern w:val="2"/>
          <w:sz w:val="32"/>
          <w:szCs w:val="32"/>
          <w:lang w:val="en-US" w:eastAsia="zh-CN" w:bidi="ar-SA"/>
        </w:rPr>
      </w:pPr>
      <w:r>
        <w:rPr>
          <w:rFonts w:ascii="Segoe UI" w:hAnsi="Segoe UI" w:cs="Segoe UI"/>
          <w:color w:val="333333"/>
          <w:sz w:val="21"/>
          <w:szCs w:val="21"/>
        </w:rPr>
        <w:t>　</w:t>
      </w:r>
      <w:r>
        <w:rPr>
          <w:rFonts w:hint="eastAsia" w:ascii="仿宋_GB2312" w:hAnsi="Calibri" w:eastAsia="仿宋_GB2312" w:cs="黑体"/>
          <w:b/>
          <w:kern w:val="2"/>
          <w:sz w:val="32"/>
          <w:szCs w:val="32"/>
          <w:lang w:val="en-US" w:eastAsia="zh-CN" w:bidi="ar-SA"/>
        </w:rPr>
        <w:t>　8.社会保障和就业(类)行政事业单位离退休(款)归口管理的行政单位离退休(项)：</w:t>
      </w:r>
      <w:r>
        <w:rPr>
          <w:rFonts w:hint="eastAsia" w:ascii="仿宋_GB2312" w:hAnsi="Calibri" w:eastAsia="仿宋_GB2312" w:cs="黑体"/>
          <w:kern w:val="2"/>
          <w:sz w:val="32"/>
          <w:szCs w:val="32"/>
          <w:lang w:val="en-US" w:eastAsia="zh-CN" w:bidi="ar-SA"/>
        </w:rPr>
        <w:t xml:space="preserve">反映实行归口管理的行政单位(包括实行公务员管理的事业单位)开支的离退休经费。 </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10</w:t>
      </w:r>
      <w:r>
        <w:rPr>
          <w:rFonts w:hint="eastAsia" w:ascii="仿宋_GB2312" w:eastAsia="仿宋_GB2312"/>
          <w:b/>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11</w:t>
      </w:r>
      <w:r>
        <w:rPr>
          <w:rFonts w:hint="eastAsia" w:ascii="仿宋_GB2312" w:eastAsia="仿宋_GB2312"/>
          <w:b/>
          <w:sz w:val="32"/>
          <w:szCs w:val="32"/>
        </w:rPr>
        <w:t>.医疗卫生（类）医疗保障（款）行政单位医疗（项）：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12</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13</w:t>
      </w:r>
      <w:r>
        <w:rPr>
          <w:rFonts w:hint="eastAsia" w:ascii="仿宋_GB2312" w:eastAsia="仿宋_GB2312"/>
          <w:b/>
          <w:sz w:val="32"/>
          <w:szCs w:val="32"/>
        </w:rPr>
        <w:t>.其他支出（类）其他支出（款）其他支出（项）：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14</w:t>
      </w:r>
      <w:r>
        <w:rPr>
          <w:rFonts w:hint="eastAsia" w:ascii="仿宋_GB2312" w:eastAsia="仿宋_GB2312"/>
          <w:b/>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Segoe UI">
    <w:altName w:val="Lucida Sans Unicode"/>
    <w:panose1 w:val="020B0502040204020203"/>
    <w:charset w:val="00"/>
    <w:family w:val="auto"/>
    <w:pitch w:val="default"/>
    <w:sig w:usb0="00000000" w:usb1="00000000" w:usb2="00000029" w:usb3="00000000" w:csb0="200001DF" w:csb1="2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9800153">
    <w:nsid w:val="5833F559"/>
    <w:multiLevelType w:val="singleLevel"/>
    <w:tmpl w:val="5833F559"/>
    <w:lvl w:ilvl="0" w:tentative="1">
      <w:start w:val="1"/>
      <w:numFmt w:val="chineseCounting"/>
      <w:suff w:val="nothing"/>
      <w:lvlText w:val="%1、"/>
      <w:lvlJc w:val="left"/>
    </w:lvl>
  </w:abstractNum>
  <w:abstractNum w:abstractNumId="1493876894">
    <w:nsid w:val="590AC09E"/>
    <w:multiLevelType w:val="singleLevel"/>
    <w:tmpl w:val="590AC09E"/>
    <w:lvl w:ilvl="0" w:tentative="1">
      <w:start w:val="1"/>
      <w:numFmt w:val="decimal"/>
      <w:suff w:val="nothing"/>
      <w:lvlText w:val="%1、"/>
      <w:lvlJc w:val="left"/>
    </w:lvl>
  </w:abstractNum>
  <w:num w:numId="1">
    <w:abstractNumId w:val="1493876894"/>
  </w:num>
  <w:num w:numId="2">
    <w:abstractNumId w:val="14798001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21ABE"/>
    <w:rsid w:val="00021ABE"/>
    <w:rsid w:val="00ED1BC1"/>
    <w:rsid w:val="045A1438"/>
    <w:rsid w:val="0776577C"/>
    <w:rsid w:val="079E3369"/>
    <w:rsid w:val="07A9144E"/>
    <w:rsid w:val="08AB511D"/>
    <w:rsid w:val="08D5032C"/>
    <w:rsid w:val="091B09ED"/>
    <w:rsid w:val="0A8071A1"/>
    <w:rsid w:val="0D796837"/>
    <w:rsid w:val="0E7C4760"/>
    <w:rsid w:val="0F382D4B"/>
    <w:rsid w:val="156355CE"/>
    <w:rsid w:val="15726A91"/>
    <w:rsid w:val="163E2742"/>
    <w:rsid w:val="1AF164B5"/>
    <w:rsid w:val="1D5864C1"/>
    <w:rsid w:val="1E5F2B09"/>
    <w:rsid w:val="1F9A700D"/>
    <w:rsid w:val="20F63B86"/>
    <w:rsid w:val="21945B8C"/>
    <w:rsid w:val="21E80222"/>
    <w:rsid w:val="23D67853"/>
    <w:rsid w:val="24811E04"/>
    <w:rsid w:val="2717384A"/>
    <w:rsid w:val="27F01037"/>
    <w:rsid w:val="288C7104"/>
    <w:rsid w:val="2BE56AF1"/>
    <w:rsid w:val="2CD870D6"/>
    <w:rsid w:val="2D7A1C0E"/>
    <w:rsid w:val="2D864A8A"/>
    <w:rsid w:val="2EE23918"/>
    <w:rsid w:val="2F652CFF"/>
    <w:rsid w:val="329327F9"/>
    <w:rsid w:val="332D529E"/>
    <w:rsid w:val="35F34878"/>
    <w:rsid w:val="36ED1E68"/>
    <w:rsid w:val="36FB1F64"/>
    <w:rsid w:val="399A62E0"/>
    <w:rsid w:val="3A0E4057"/>
    <w:rsid w:val="3B1A353F"/>
    <w:rsid w:val="3F604095"/>
    <w:rsid w:val="3FE54391"/>
    <w:rsid w:val="41743E9F"/>
    <w:rsid w:val="41A57EF1"/>
    <w:rsid w:val="41B74F33"/>
    <w:rsid w:val="43D1199F"/>
    <w:rsid w:val="44807255"/>
    <w:rsid w:val="492177C0"/>
    <w:rsid w:val="4FAD78CB"/>
    <w:rsid w:val="51A24649"/>
    <w:rsid w:val="51A55EF2"/>
    <w:rsid w:val="54A37C03"/>
    <w:rsid w:val="56D73DB1"/>
    <w:rsid w:val="58561E41"/>
    <w:rsid w:val="5C375182"/>
    <w:rsid w:val="5D276508"/>
    <w:rsid w:val="5F305773"/>
    <w:rsid w:val="602A3CC4"/>
    <w:rsid w:val="61A061F6"/>
    <w:rsid w:val="66BC5CCC"/>
    <w:rsid w:val="67A601B3"/>
    <w:rsid w:val="686E6CD5"/>
    <w:rsid w:val="68D54F21"/>
    <w:rsid w:val="692D38D3"/>
    <w:rsid w:val="6A9D74EA"/>
    <w:rsid w:val="6B455E0B"/>
    <w:rsid w:val="6C103D73"/>
    <w:rsid w:val="6EDD30FE"/>
    <w:rsid w:val="71324402"/>
    <w:rsid w:val="719A1E6A"/>
    <w:rsid w:val="74AF32D6"/>
    <w:rsid w:val="75494351"/>
    <w:rsid w:val="76E005C5"/>
    <w:rsid w:val="78C728B3"/>
    <w:rsid w:val="78EE1E79"/>
    <w:rsid w:val="79834787"/>
    <w:rsid w:val="7BD9746F"/>
    <w:rsid w:val="7D0E06B2"/>
    <w:rsid w:val="7D790BCB"/>
    <w:rsid w:val="7E1F1AE5"/>
    <w:rsid w:val="7F19076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after="150"/>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320</Words>
  <Characters>1824</Characters>
  <Lines>15</Lines>
  <Paragraphs>4</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2016-11-18T01:26:00Z</dcterms:created>
  <dc:creator>user</dc:creator>
  <cp:lastModifiedBy>Administrator</cp:lastModifiedBy>
  <cp:lastPrinted>2016-12-08T02:39:00Z</cp:lastPrinted>
  <dcterms:modified xsi:type="dcterms:W3CDTF">2017-05-04T06:24:37Z</dcterms:modified>
  <dc:title>目    录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